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7C6" w:rsidRPr="00CB15FF" w:rsidRDefault="006E47C6" w:rsidP="00E37514">
      <w:pPr>
        <w:pStyle w:val="TOC1"/>
      </w:pPr>
    </w:p>
    <w:p w:rsidR="00CB4B50" w:rsidRPr="00CB15FF" w:rsidRDefault="00CB4B50" w:rsidP="00CB4B50"/>
    <w:p w:rsidR="00C8194D" w:rsidRPr="00CB15FF" w:rsidRDefault="00C8194D" w:rsidP="00575CD7">
      <w:pPr>
        <w:pStyle w:val="TOC1"/>
        <w:jc w:val="center"/>
        <w:rPr>
          <w:sz w:val="22"/>
          <w:szCs w:val="22"/>
        </w:rPr>
      </w:pPr>
      <w:r w:rsidRPr="00CB15FF">
        <w:rPr>
          <w:sz w:val="22"/>
          <w:szCs w:val="22"/>
        </w:rPr>
        <w:t>ԲՈՎԱՆԴԱԿՈՒԹՅՈՒՆ</w:t>
      </w:r>
    </w:p>
    <w:p w:rsidR="003728C6" w:rsidRPr="00CB15FF" w:rsidRDefault="003728C6" w:rsidP="003728C6">
      <w:pPr>
        <w:tabs>
          <w:tab w:val="left" w:pos="0"/>
        </w:tabs>
        <w:rPr>
          <w:rFonts w:ascii="GHEA Grapalat" w:hAnsi="GHEA Grapalat"/>
          <w:b/>
          <w:sz w:val="22"/>
          <w:szCs w:val="22"/>
        </w:rPr>
      </w:pPr>
      <w:bookmarkStart w:id="0" w:name="_Toc71283303"/>
      <w:bookmarkStart w:id="1" w:name="_Toc71283304"/>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u w:val="none"/>
          <w:lang w:val="en-US"/>
        </w:rPr>
      </w:sdtEndPr>
      <w:sdtContent>
        <w:p w:rsidR="0019482C" w:rsidRDefault="00E37514">
          <w:pPr>
            <w:pStyle w:val="TOC1"/>
            <w:rPr>
              <w:rFonts w:asciiTheme="minorHAnsi" w:eastAsiaTheme="minorEastAsia" w:hAnsiTheme="minorHAnsi" w:cstheme="minorBidi"/>
              <w:b w:val="0"/>
              <w:bCs w:val="0"/>
              <w:caps w:val="0"/>
              <w:color w:val="auto"/>
              <w:sz w:val="22"/>
              <w:szCs w:val="22"/>
            </w:rPr>
          </w:pPr>
          <w:r w:rsidRPr="00CB15FF">
            <w:rPr>
              <w:sz w:val="22"/>
              <w:szCs w:val="22"/>
            </w:rPr>
            <w:fldChar w:fldCharType="begin"/>
          </w:r>
          <w:r w:rsidRPr="00CB15FF">
            <w:rPr>
              <w:sz w:val="22"/>
              <w:szCs w:val="22"/>
            </w:rPr>
            <w:instrText xml:space="preserve"> TOC \o "1-3" \h \z \u </w:instrText>
          </w:r>
          <w:r w:rsidRPr="00CB15FF">
            <w:rPr>
              <w:sz w:val="22"/>
              <w:szCs w:val="22"/>
            </w:rPr>
            <w:fldChar w:fldCharType="separate"/>
          </w:r>
          <w:hyperlink w:anchor="_Toc165291843" w:history="1">
            <w:r w:rsidR="0019482C" w:rsidRPr="006912F2">
              <w:rPr>
                <w:rStyle w:val="Hyperlink"/>
                <w:lang w:val="hy-AM"/>
              </w:rPr>
              <w:t>ՀԱՅԱՍՏԱՆԻ ՀԱՆՐԱՊԵՏՈՒԹՅԱՆ ՄԱԿՐՈՏՆՏԵՍԱԿԱՆ ԵՎ ՀԱՐԿԱԲՅՈՒՋԵՏԱՅԻՆ ԶԱՐԳԱՑՈՒՄՆԵՐԸ 2022 ԹՎԱԿԱՆԻ ԻՆՆ ԱՄԻՍՆԵՐԻՆ</w:t>
            </w:r>
            <w:r w:rsidR="0019482C">
              <w:rPr>
                <w:webHidden/>
              </w:rPr>
              <w:tab/>
            </w:r>
            <w:r w:rsidR="0019482C">
              <w:rPr>
                <w:webHidden/>
              </w:rPr>
              <w:fldChar w:fldCharType="begin"/>
            </w:r>
            <w:r w:rsidR="0019482C">
              <w:rPr>
                <w:webHidden/>
              </w:rPr>
              <w:instrText xml:space="preserve"> PAGEREF _Toc165291843 \h </w:instrText>
            </w:r>
            <w:r w:rsidR="0019482C">
              <w:rPr>
                <w:webHidden/>
              </w:rPr>
            </w:r>
            <w:r w:rsidR="0019482C">
              <w:rPr>
                <w:webHidden/>
              </w:rPr>
              <w:fldChar w:fldCharType="separate"/>
            </w:r>
            <w:r w:rsidR="0019482C">
              <w:rPr>
                <w:webHidden/>
              </w:rPr>
              <w:t>3</w:t>
            </w:r>
            <w:r w:rsidR="0019482C">
              <w:rPr>
                <w:webHidden/>
              </w:rPr>
              <w:fldChar w:fldCharType="end"/>
            </w:r>
          </w:hyperlink>
        </w:p>
        <w:p w:rsidR="0019482C" w:rsidRDefault="0019482C">
          <w:pPr>
            <w:pStyle w:val="TOC2"/>
            <w:rPr>
              <w:rFonts w:asciiTheme="minorHAnsi" w:eastAsiaTheme="minorEastAsia" w:hAnsiTheme="minorHAnsi" w:cstheme="minorBidi"/>
              <w:bCs w:val="0"/>
              <w:sz w:val="22"/>
              <w:szCs w:val="22"/>
              <w:lang w:val="en-US"/>
            </w:rPr>
          </w:pPr>
          <w:hyperlink w:anchor="_Toc165291844" w:history="1">
            <w:r w:rsidRPr="006912F2">
              <w:rPr>
                <w:rStyle w:val="Hyperlink"/>
                <w:lang w:val="de-AT"/>
              </w:rPr>
              <w:t>ՄԱԿՐՈՏՆՏԵՍԱԿԱՆ ԵՎ ՀԱՐԿԱԲՅՈՒՋԵՏԱՅԻՆ ԱՄՓՈՓԱԳԻՐ</w:t>
            </w:r>
            <w:r>
              <w:rPr>
                <w:webHidden/>
              </w:rPr>
              <w:tab/>
            </w:r>
            <w:r>
              <w:rPr>
                <w:webHidden/>
              </w:rPr>
              <w:fldChar w:fldCharType="begin"/>
            </w:r>
            <w:r>
              <w:rPr>
                <w:webHidden/>
              </w:rPr>
              <w:instrText xml:space="preserve"> PAGEREF _Toc165291844 \h </w:instrText>
            </w:r>
            <w:r>
              <w:rPr>
                <w:webHidden/>
              </w:rPr>
            </w:r>
            <w:r>
              <w:rPr>
                <w:webHidden/>
              </w:rPr>
              <w:fldChar w:fldCharType="separate"/>
            </w:r>
            <w:r>
              <w:rPr>
                <w:webHidden/>
              </w:rPr>
              <w:t>3</w:t>
            </w:r>
            <w:r>
              <w:rPr>
                <w:webHidden/>
              </w:rPr>
              <w:fldChar w:fldCharType="end"/>
            </w:r>
          </w:hyperlink>
        </w:p>
        <w:p w:rsidR="0019482C" w:rsidRDefault="0019482C">
          <w:pPr>
            <w:pStyle w:val="TOC2"/>
            <w:rPr>
              <w:rFonts w:asciiTheme="minorHAnsi" w:eastAsiaTheme="minorEastAsia" w:hAnsiTheme="minorHAnsi" w:cstheme="minorBidi"/>
              <w:bCs w:val="0"/>
              <w:sz w:val="22"/>
              <w:szCs w:val="22"/>
              <w:lang w:val="en-US"/>
            </w:rPr>
          </w:pPr>
          <w:hyperlink w:anchor="_Toc165291845" w:history="1">
            <w:r w:rsidRPr="006912F2">
              <w:rPr>
                <w:rStyle w:val="Hyperlink"/>
                <w:lang w:val="de-AT"/>
              </w:rPr>
              <w:t>ՄԱԿՐՈՏՆՏԵՍԱԿԱՆ ԶԱՐԳԱՑՈՒՄՆԵՐ</w:t>
            </w:r>
            <w:r>
              <w:rPr>
                <w:webHidden/>
              </w:rPr>
              <w:tab/>
            </w:r>
            <w:r>
              <w:rPr>
                <w:webHidden/>
              </w:rPr>
              <w:fldChar w:fldCharType="begin"/>
            </w:r>
            <w:r>
              <w:rPr>
                <w:webHidden/>
              </w:rPr>
              <w:instrText xml:space="preserve"> PAGEREF _Toc165291845 \h </w:instrText>
            </w:r>
            <w:r>
              <w:rPr>
                <w:webHidden/>
              </w:rPr>
            </w:r>
            <w:r>
              <w:rPr>
                <w:webHidden/>
              </w:rPr>
              <w:fldChar w:fldCharType="separate"/>
            </w:r>
            <w:r>
              <w:rPr>
                <w:webHidden/>
              </w:rPr>
              <w:t>6</w:t>
            </w:r>
            <w:r>
              <w:rPr>
                <w:webHidden/>
              </w:rPr>
              <w:fldChar w:fldCharType="end"/>
            </w:r>
          </w:hyperlink>
        </w:p>
        <w:p w:rsidR="0019482C" w:rsidRDefault="0019482C">
          <w:pPr>
            <w:pStyle w:val="TOC2"/>
            <w:rPr>
              <w:rFonts w:asciiTheme="minorHAnsi" w:eastAsiaTheme="minorEastAsia" w:hAnsiTheme="minorHAnsi" w:cstheme="minorBidi"/>
              <w:bCs w:val="0"/>
              <w:sz w:val="22"/>
              <w:szCs w:val="22"/>
              <w:lang w:val="en-US"/>
            </w:rPr>
          </w:pPr>
          <w:hyperlink w:anchor="_Toc165291846" w:history="1">
            <w:r w:rsidRPr="006912F2">
              <w:rPr>
                <w:rStyle w:val="Hyperlink"/>
                <w:lang w:val="de-AT"/>
              </w:rPr>
              <w:t>Արտաքին միջավայրի զարգացումներ</w:t>
            </w:r>
            <w:r>
              <w:rPr>
                <w:webHidden/>
              </w:rPr>
              <w:tab/>
            </w:r>
            <w:r>
              <w:rPr>
                <w:webHidden/>
              </w:rPr>
              <w:fldChar w:fldCharType="begin"/>
            </w:r>
            <w:r>
              <w:rPr>
                <w:webHidden/>
              </w:rPr>
              <w:instrText xml:space="preserve"> PAGEREF _Toc165291846 \h </w:instrText>
            </w:r>
            <w:r>
              <w:rPr>
                <w:webHidden/>
              </w:rPr>
            </w:r>
            <w:r>
              <w:rPr>
                <w:webHidden/>
              </w:rPr>
              <w:fldChar w:fldCharType="separate"/>
            </w:r>
            <w:r>
              <w:rPr>
                <w:webHidden/>
              </w:rPr>
              <w:t>6</w:t>
            </w:r>
            <w:r>
              <w:rPr>
                <w:webHidden/>
              </w:rPr>
              <w:fldChar w:fldCharType="end"/>
            </w:r>
          </w:hyperlink>
        </w:p>
        <w:p w:rsidR="0019482C" w:rsidRDefault="0019482C">
          <w:pPr>
            <w:pStyle w:val="TOC2"/>
            <w:rPr>
              <w:rFonts w:asciiTheme="minorHAnsi" w:eastAsiaTheme="minorEastAsia" w:hAnsiTheme="minorHAnsi" w:cstheme="minorBidi"/>
              <w:bCs w:val="0"/>
              <w:sz w:val="22"/>
              <w:szCs w:val="22"/>
              <w:lang w:val="en-US"/>
            </w:rPr>
          </w:pPr>
          <w:hyperlink w:anchor="_Toc165291847" w:history="1">
            <w:r w:rsidRPr="006912F2">
              <w:rPr>
                <w:rStyle w:val="Hyperlink"/>
                <w:lang w:val="de-AT"/>
              </w:rPr>
              <w:t>ՀՀ մակրոտնտեսական զարգացումներ</w:t>
            </w:r>
            <w:r>
              <w:rPr>
                <w:webHidden/>
              </w:rPr>
              <w:tab/>
            </w:r>
            <w:r>
              <w:rPr>
                <w:webHidden/>
              </w:rPr>
              <w:fldChar w:fldCharType="begin"/>
            </w:r>
            <w:r>
              <w:rPr>
                <w:webHidden/>
              </w:rPr>
              <w:instrText xml:space="preserve"> PAGEREF _Toc165291847 \h </w:instrText>
            </w:r>
            <w:r>
              <w:rPr>
                <w:webHidden/>
              </w:rPr>
            </w:r>
            <w:r>
              <w:rPr>
                <w:webHidden/>
              </w:rPr>
              <w:fldChar w:fldCharType="separate"/>
            </w:r>
            <w:r>
              <w:rPr>
                <w:webHidden/>
              </w:rPr>
              <w:t>7</w:t>
            </w:r>
            <w:r>
              <w:rPr>
                <w:webHidden/>
              </w:rPr>
              <w:fldChar w:fldCharType="end"/>
            </w:r>
          </w:hyperlink>
        </w:p>
        <w:p w:rsidR="0019482C" w:rsidRDefault="0019482C">
          <w:pPr>
            <w:pStyle w:val="TOC2"/>
            <w:rPr>
              <w:rFonts w:asciiTheme="minorHAnsi" w:eastAsiaTheme="minorEastAsia" w:hAnsiTheme="minorHAnsi" w:cstheme="minorBidi"/>
              <w:bCs w:val="0"/>
              <w:sz w:val="22"/>
              <w:szCs w:val="22"/>
              <w:lang w:val="en-US"/>
            </w:rPr>
          </w:pPr>
          <w:hyperlink w:anchor="_Toc165291848" w:history="1">
            <w:r w:rsidRPr="006912F2">
              <w:rPr>
                <w:rStyle w:val="Hyperlink"/>
                <w:lang w:val="de-AT"/>
              </w:rPr>
              <w:t>ՀԱՐԿԱԲՅՈՒՋԵՏԱՅԻՆ ՔԱՂԱՔԱԿԱՆՈՒԹՅԱՆ ՀԻՄՆԱԿԱՆ ԶԱՐԳԱՑՈՒՄՆԵՐԸ</w:t>
            </w:r>
            <w:r>
              <w:rPr>
                <w:webHidden/>
              </w:rPr>
              <w:tab/>
            </w:r>
            <w:r>
              <w:rPr>
                <w:webHidden/>
              </w:rPr>
              <w:fldChar w:fldCharType="begin"/>
            </w:r>
            <w:r>
              <w:rPr>
                <w:webHidden/>
              </w:rPr>
              <w:instrText xml:space="preserve"> PAGEREF _Toc165291848 \h </w:instrText>
            </w:r>
            <w:r>
              <w:rPr>
                <w:webHidden/>
              </w:rPr>
            </w:r>
            <w:r>
              <w:rPr>
                <w:webHidden/>
              </w:rPr>
              <w:fldChar w:fldCharType="separate"/>
            </w:r>
            <w:r>
              <w:rPr>
                <w:webHidden/>
              </w:rPr>
              <w:t>26</w:t>
            </w:r>
            <w:r>
              <w:rPr>
                <w:webHidden/>
              </w:rPr>
              <w:fldChar w:fldCharType="end"/>
            </w:r>
          </w:hyperlink>
        </w:p>
        <w:p w:rsidR="0019482C" w:rsidRDefault="0019482C">
          <w:pPr>
            <w:pStyle w:val="TOC2"/>
            <w:rPr>
              <w:rFonts w:asciiTheme="minorHAnsi" w:eastAsiaTheme="minorEastAsia" w:hAnsiTheme="minorHAnsi" w:cstheme="minorBidi"/>
              <w:bCs w:val="0"/>
              <w:sz w:val="22"/>
              <w:szCs w:val="22"/>
              <w:lang w:val="en-US"/>
            </w:rPr>
          </w:pPr>
          <w:hyperlink w:anchor="_Toc165291849" w:history="1">
            <w:r w:rsidRPr="006912F2">
              <w:rPr>
                <w:rStyle w:val="Hyperlink"/>
                <w:lang w:val="de-AT"/>
              </w:rPr>
              <w:t>Հավելված: Տնտեսության ճյուղերի և ենթաճյուղերի, արտահանման և ներմուծման ապրանքախմբերի հիմնական ցուցանիշների աղյուսակներ</w:t>
            </w:r>
            <w:r>
              <w:rPr>
                <w:webHidden/>
              </w:rPr>
              <w:tab/>
            </w:r>
            <w:r>
              <w:rPr>
                <w:webHidden/>
              </w:rPr>
              <w:fldChar w:fldCharType="begin"/>
            </w:r>
            <w:r>
              <w:rPr>
                <w:webHidden/>
              </w:rPr>
              <w:instrText xml:space="preserve"> PAGEREF _Toc165291849 \h </w:instrText>
            </w:r>
            <w:r>
              <w:rPr>
                <w:webHidden/>
              </w:rPr>
            </w:r>
            <w:r>
              <w:rPr>
                <w:webHidden/>
              </w:rPr>
              <w:fldChar w:fldCharType="separate"/>
            </w:r>
            <w:r>
              <w:rPr>
                <w:webHidden/>
              </w:rPr>
              <w:t>30</w:t>
            </w:r>
            <w:r>
              <w:rPr>
                <w:webHidden/>
              </w:rPr>
              <w:fldChar w:fldCharType="end"/>
            </w:r>
          </w:hyperlink>
        </w:p>
        <w:p w:rsidR="00647147" w:rsidRPr="00CB15FF" w:rsidRDefault="00E37514" w:rsidP="00E37514">
          <w:pPr>
            <w:rPr>
              <w:sz w:val="22"/>
              <w:szCs w:val="22"/>
            </w:rPr>
            <w:sectPr w:rsidR="00647147" w:rsidRPr="00CB15FF" w:rsidSect="00E37514">
              <w:footerReference w:type="default" r:id="rId8"/>
              <w:pgSz w:w="11907" w:h="16840" w:code="9"/>
              <w:pgMar w:top="1134" w:right="567" w:bottom="567" w:left="1134" w:header="567" w:footer="340" w:gutter="0"/>
              <w:pgNumType w:start="2"/>
              <w:cols w:space="720"/>
            </w:sectPr>
          </w:pPr>
          <w:r w:rsidRPr="00CB15FF">
            <w:rPr>
              <w:rFonts w:ascii="GHEA Grapalat" w:hAnsi="GHEA Grapalat"/>
              <w:b/>
              <w:bCs/>
              <w:noProof/>
              <w:sz w:val="22"/>
              <w:szCs w:val="22"/>
            </w:rPr>
            <w:fldChar w:fldCharType="end"/>
          </w:r>
        </w:p>
        <w:bookmarkStart w:id="2" w:name="_GoBack" w:displacedByCustomXml="next"/>
        <w:bookmarkEnd w:id="2" w:displacedByCustomXml="next"/>
      </w:sdtContent>
    </w:sdt>
    <w:p w:rsidR="00756F85" w:rsidRDefault="0019482C" w:rsidP="0019482C">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3" w:name="_Toc100247626"/>
      <w:bookmarkStart w:id="4" w:name="_Toc87365141"/>
      <w:bookmarkStart w:id="5" w:name="_Toc8210486"/>
      <w:bookmarkStart w:id="6" w:name="_Toc71311890"/>
      <w:bookmarkStart w:id="7" w:name="_Toc165291843"/>
      <w:bookmarkEnd w:id="0"/>
      <w:bookmarkEnd w:id="1"/>
      <w:r w:rsidRPr="00CB15FF">
        <w:rPr>
          <w:rFonts w:ascii="GHEA Grapalat" w:hAnsi="GHEA Grapalat" w:cs="Sylfaen"/>
          <w:noProof/>
          <w:sz w:val="22"/>
          <w:szCs w:val="22"/>
          <w:lang w:val="hy-AM"/>
        </w:rPr>
        <w:lastRenderedPageBreak/>
        <w:t>ՀԱՅԱՍՏԱՆԻ ՀԱՆՐԱՊԵՏՈՒԹՅԱՆ ՄԱԿՐՈՏՆՏԵՍԱԿԱՆ ԵՎ ՀԱՐԿԱԲՅՈՒՋԵՏԱՅԻՆ ԶԱՐԳԱՑՈՒՄՆԵՐԸ 2022 ԹՎԱԿԱՆ</w:t>
      </w:r>
      <w:r w:rsidRPr="000F6B0F">
        <w:rPr>
          <w:rFonts w:ascii="GHEA Grapalat" w:hAnsi="GHEA Grapalat" w:cs="Sylfaen"/>
          <w:noProof/>
          <w:sz w:val="22"/>
          <w:szCs w:val="22"/>
          <w:lang w:val="hy-AM"/>
        </w:rPr>
        <w:t>Ի ԻՆՆ ԱՄԻՍՆԵՐԻՆ</w:t>
      </w:r>
      <w:bookmarkEnd w:id="7"/>
    </w:p>
    <w:p w:rsidR="0019482C" w:rsidRPr="0019482C" w:rsidRDefault="0019482C" w:rsidP="0019482C">
      <w:pPr>
        <w:rPr>
          <w:rFonts w:asciiTheme="minorHAnsi" w:hAnsiTheme="minorHAnsi"/>
          <w:lang w:val="hy-AM"/>
        </w:rPr>
      </w:pPr>
    </w:p>
    <w:p w:rsidR="00756F85" w:rsidRPr="0019482C" w:rsidRDefault="00756F85" w:rsidP="0019482C">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8" w:name="_Toc165291844"/>
      <w:r w:rsidRPr="0019482C">
        <w:rPr>
          <w:rFonts w:ascii="GHEA Grapalat" w:hAnsi="GHEA Grapalat"/>
          <w:i w:val="0"/>
          <w:noProof/>
          <w:sz w:val="22"/>
          <w:szCs w:val="22"/>
          <w:lang w:val="de-AT"/>
        </w:rPr>
        <w:t>ՄԱԿՐՈՏՆՏԵՍԱԿԱՆ ԵՎ ՀԱՐԿԱԲՅՈՒՋԵՏԱՅԻՆ ԱՄՓՈՓԱԳԻՐ</w:t>
      </w:r>
      <w:bookmarkEnd w:id="3"/>
      <w:bookmarkEnd w:id="8"/>
    </w:p>
    <w:p w:rsidR="00E042C2" w:rsidRPr="00CB15FF" w:rsidRDefault="00F46449"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 </w:t>
      </w:r>
      <w:r w:rsidR="00E042C2" w:rsidRPr="00CB15FF">
        <w:rPr>
          <w:rFonts w:ascii="GHEA Grapalat" w:hAnsi="GHEA Grapalat" w:cs="GHEA Grapalat"/>
          <w:sz w:val="22"/>
          <w:szCs w:val="22"/>
          <w:lang w:val="hy-AM"/>
        </w:rPr>
        <w:t>Ռուս-ուկրաինական հակամարտությամբ և դրա արդյունքո</w:t>
      </w:r>
      <w:r w:rsidR="00360A9D" w:rsidRPr="00CB15FF">
        <w:rPr>
          <w:rFonts w:ascii="GHEA Grapalat" w:hAnsi="GHEA Grapalat" w:cs="GHEA Grapalat"/>
          <w:sz w:val="22"/>
          <w:szCs w:val="22"/>
          <w:lang w:val="hy-AM"/>
        </w:rPr>
        <w:t>ւմ ՌԴ</w:t>
      </w:r>
      <w:r w:rsidR="00E042C2" w:rsidRPr="00CB15FF">
        <w:rPr>
          <w:rFonts w:ascii="GHEA Grapalat" w:hAnsi="GHEA Grapalat" w:cs="GHEA Grapalat"/>
          <w:sz w:val="22"/>
          <w:szCs w:val="22"/>
          <w:lang w:val="hy-AM"/>
        </w:rPr>
        <w:t xml:space="preserve"> նկատմամբ կիրառվող աննախադեպ պատժամիջոցների բացասական ազդեցություններով պայմանավորված</w:t>
      </w:r>
      <w:r w:rsidR="00E042C2" w:rsidRPr="000F6B0F">
        <w:rPr>
          <w:rFonts w:ascii="GHEA Grapalat" w:hAnsi="GHEA Grapalat" w:cs="GHEA Grapalat"/>
          <w:sz w:val="22"/>
          <w:szCs w:val="22"/>
          <w:lang w:val="hy-AM"/>
        </w:rPr>
        <w:t>՝</w:t>
      </w:r>
      <w:r w:rsidR="00E042C2" w:rsidRPr="00CB15FF">
        <w:rPr>
          <w:rFonts w:ascii="GHEA Grapalat" w:hAnsi="GHEA Grapalat" w:cs="GHEA Grapalat"/>
          <w:sz w:val="22"/>
          <w:szCs w:val="22"/>
          <w:lang w:val="hy-AM"/>
        </w:rPr>
        <w:t xml:space="preserve"> գործընկեր երկրների տնտեսությունները 2022 թվականի մարտ ամսից սկսել են դրսևորել տնտեսական ակտիվության դանդաղման միտումներ, որը շարունակվել է երրորդ եռամսյակում` ուղեկցվելով խստացող դրամավարկային քաղաքականությամբ: Համաշխարհային խաթարված արժեշղթաների և ռուս-ուկրաինական հակամարտության հետևանքով առաջացած մի շարք սահմանափակումների պայմաններում հումքային և պարենային ապրանքների շուկաներում պահպանվում է բարձր գնային միջավայրը, սակայն վերջին ժամանակահատվածում համաշխարհային արժեշղթաների որոշակի վերականգման և խստացող դրամավարկային քաղաքականությունների պայմաններում նկատվում է գնաճային ճնշումների թուլացում:</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Համավարակի և Արցախյան պատերազմի շոկերից հետո տնտեսության 2021 թվականի վերականգնման տեմպեր</w:t>
      </w:r>
      <w:r w:rsidRPr="000F6B0F">
        <w:rPr>
          <w:rFonts w:ascii="GHEA Grapalat" w:hAnsi="GHEA Grapalat" w:cs="GHEA Grapalat"/>
          <w:sz w:val="22"/>
          <w:szCs w:val="22"/>
          <w:lang w:val="hy-AM"/>
        </w:rPr>
        <w:t>ն</w:t>
      </w:r>
      <w:r w:rsidRPr="00CB15FF">
        <w:rPr>
          <w:rFonts w:ascii="GHEA Grapalat" w:hAnsi="GHEA Grapalat" w:cs="GHEA Grapalat"/>
          <w:sz w:val="22"/>
          <w:szCs w:val="22"/>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որոշակի դանդաղմանը</w:t>
      </w:r>
      <w:r w:rsidRPr="000F6B0F">
        <w:rPr>
          <w:rFonts w:ascii="GHEA Grapalat" w:hAnsi="GHEA Grapalat" w:cs="GHEA Grapalat"/>
          <w:sz w:val="22"/>
          <w:szCs w:val="22"/>
          <w:lang w:val="hy-AM"/>
        </w:rPr>
        <w:t>՝</w:t>
      </w:r>
      <w:r w:rsidRPr="00CB15FF">
        <w:rPr>
          <w:rFonts w:ascii="GHEA Grapalat" w:hAnsi="GHEA Grapalat" w:cs="GHEA Grapalat"/>
          <w:sz w:val="22"/>
          <w:szCs w:val="22"/>
          <w:lang w:val="hy-AM"/>
        </w:rPr>
        <w:t xml:space="preserve"> ապրիլ ամսից դեպի Հայաստան մարդկանց ներհոսքով, զբոսաշրջության զգալի ավելացման և տեղեկատվական տեխնոլոգիաների ոլորտի ընկերությունների</w:t>
      </w:r>
      <w:r w:rsidRPr="000F6B0F">
        <w:rPr>
          <w:rFonts w:ascii="GHEA Grapalat" w:hAnsi="GHEA Grapalat" w:cs="GHEA Grapalat"/>
          <w:sz w:val="22"/>
          <w:szCs w:val="22"/>
          <w:lang w:val="hy-AM"/>
        </w:rPr>
        <w:t>՝</w:t>
      </w:r>
      <w:r w:rsidRPr="00CB15FF">
        <w:rPr>
          <w:rFonts w:ascii="GHEA Grapalat" w:hAnsi="GHEA Grapalat" w:cs="GHEA Grapalat"/>
          <w:sz w:val="22"/>
          <w:szCs w:val="22"/>
          <w:lang w:val="hy-AM"/>
        </w:rPr>
        <w:t xml:space="preserve"> ՀՀ տեղափոխման, ինչպես նաև սեպտեմբերին դեպի Հայաստան միգրանտների նոր հոսքի արդյունքում տնտեսական ակտիվության աճի տեմպերը կտրուկ արագացան</w:t>
      </w:r>
      <w:r w:rsidRPr="000F6B0F">
        <w:rPr>
          <w:rFonts w:ascii="GHEA Grapalat" w:hAnsi="GHEA Grapalat" w:cs="GHEA Grapalat"/>
          <w:sz w:val="22"/>
          <w:szCs w:val="22"/>
          <w:lang w:val="hy-AM"/>
        </w:rPr>
        <w:t>,</w:t>
      </w:r>
      <w:r w:rsidRPr="00CB15FF">
        <w:rPr>
          <w:rFonts w:ascii="GHEA Grapalat" w:hAnsi="GHEA Grapalat" w:cs="GHEA Grapalat"/>
          <w:sz w:val="22"/>
          <w:szCs w:val="22"/>
          <w:lang w:val="hy-AM"/>
        </w:rPr>
        <w:t xml:space="preserve"> հատկապես՝ ծառայությունների ոլորտում: Արդյունքում հունվար-սեպտեմբերին գրանցվեց 14.1% տնտեսական ակտիվության աճ: 2022 թվականի ինն ամիսներին տնտեսության բոլոր ճյուղերում, բացառությամբ գյուղատնտեսության, գրանցվել է թողարկման ծավալների աճ: Տնտեսական ակտիվության աճն ուղեկցվել է ներքին և արտաքին պահանջարկի աճով:</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2022 թվականի հունվար-սեպտեմբեր ամիսներին արտաքին առևտուրը նշանակալի աճ է գրանցել: Ապրանքների արտահանումն աճել է 63.8%-ով՝ պայմանավորված արտաքին որոշ շուկաներում (հատկապես՝ ՌԴ-ում) ՀՀ ապրանքների նկատմամբ պահանջարկի աճով, ՌԴ-ում ՀՀ ապրանքների գնային մրցունակության ավելացմամբ, ինչպես նաև արտահանման ներուժի աճով, իսկ ներմուծումն աճել է 61.6%-ով՝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Մարդկանց և ընկերությունների ներհոսքն ուղեկցվել է արտարժույթի (դոլար և ռուբլի) մեծ ներհոսքով, որի հետևանքով 2022 թվականի մարտից սկսած ՀՀ արժութային շուկայի </w:t>
      </w:r>
      <w:r w:rsidRPr="00CB15FF">
        <w:rPr>
          <w:rFonts w:ascii="GHEA Grapalat" w:hAnsi="GHEA Grapalat" w:cs="GHEA Grapalat"/>
          <w:sz w:val="22"/>
          <w:szCs w:val="22"/>
          <w:lang w:val="hy-AM"/>
        </w:rPr>
        <w:lastRenderedPageBreak/>
        <w:t>շրջանառության ծավալներ</w:t>
      </w:r>
      <w:r w:rsidRPr="000F6B0F">
        <w:rPr>
          <w:rFonts w:ascii="GHEA Grapalat" w:hAnsi="GHEA Grapalat" w:cs="GHEA Grapalat"/>
          <w:sz w:val="22"/>
          <w:szCs w:val="22"/>
          <w:lang w:val="hy-AM"/>
        </w:rPr>
        <w:t>ն</w:t>
      </w:r>
      <w:r w:rsidRPr="00CB15FF">
        <w:rPr>
          <w:rFonts w:ascii="GHEA Grapalat" w:hAnsi="GHEA Grapalat" w:cs="GHEA Grapalat"/>
          <w:sz w:val="22"/>
          <w:szCs w:val="22"/>
          <w:lang w:val="hy-AM"/>
        </w:rPr>
        <w:t xml:space="preserve"> էապես ավելացել են: Այս պայմաններում 2022 թվականի ինն ամիսներին, հատկապես՝ մարտ ամսից հետո ՀՀ դրամը ԱՄՆ դոլարի և </w:t>
      </w:r>
      <w:r w:rsidRPr="000F6B0F">
        <w:rPr>
          <w:rFonts w:ascii="GHEA Grapalat" w:hAnsi="GHEA Grapalat" w:cs="GHEA Grapalat"/>
          <w:sz w:val="22"/>
          <w:szCs w:val="22"/>
          <w:lang w:val="hy-AM"/>
        </w:rPr>
        <w:t>ե</w:t>
      </w:r>
      <w:r w:rsidRPr="00CB15FF">
        <w:rPr>
          <w:rFonts w:ascii="GHEA Grapalat" w:hAnsi="GHEA Grapalat" w:cs="GHEA Grapalat"/>
          <w:sz w:val="22"/>
          <w:szCs w:val="22"/>
          <w:lang w:val="hy-AM"/>
        </w:rPr>
        <w:t>վրոյի նկատմամբ դրսևորել է արժևորման վարքագիծ: Իսկ ռուսական ռուբլու նկատմամաբ արձանագրվել է հակառակ պատկերը՝ մարտի կտրուկ արժևորմանը հետևել է արժեզրկման միտումը։</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2022 թվականի առաջին 9 ամիսներին համաշխարհային ապրանքահումքային շուկաներում գների աճով, ինչպես նաև ՀՀ տնտեսությունում համախառն պահանջարկի ավելացմամբ պայմանավորված</w:t>
      </w:r>
      <w:r w:rsidRPr="000F6B0F">
        <w:rPr>
          <w:rFonts w:ascii="GHEA Grapalat" w:hAnsi="GHEA Grapalat" w:cs="GHEA Grapalat"/>
          <w:sz w:val="22"/>
          <w:szCs w:val="22"/>
          <w:lang w:val="hy-AM"/>
        </w:rPr>
        <w:t>՝</w:t>
      </w:r>
      <w:r w:rsidRPr="00CB15FF">
        <w:rPr>
          <w:rFonts w:ascii="GHEA Grapalat" w:hAnsi="GHEA Grapalat" w:cs="GHEA Grapalat"/>
          <w:sz w:val="22"/>
          <w:szCs w:val="22"/>
          <w:lang w:val="hy-AM"/>
        </w:rPr>
        <w:t xml:space="preserve"> 12-ամսյա գնաճն արագացել է՝ 2022 թվականի սեպտեմբերին կազմելով 9.9%: Դիտարկվող ժամանակահատվածում, նախ՝ հաշվի առնելով միջազգային պարենային շուկաներում գնաճային զարգացումները, ապա՝ տնտեսությունում պահանջարկի, և հատկապես՝ ծառայությունների նկատմամբ արտաքին պահանջարկի բարձր աճը, ՀՀ ԿԲ-ն բարձրացրել է վերաֆինանսավորման տոկոսադրույք</w:t>
      </w:r>
      <w:r w:rsidRPr="000F6B0F">
        <w:rPr>
          <w:rFonts w:ascii="GHEA Grapalat" w:hAnsi="GHEA Grapalat" w:cs="GHEA Grapalat"/>
          <w:sz w:val="22"/>
          <w:szCs w:val="22"/>
          <w:lang w:val="hy-AM"/>
        </w:rPr>
        <w:t>ն</w:t>
      </w:r>
      <w:r w:rsidRPr="00CB15FF">
        <w:rPr>
          <w:rFonts w:ascii="GHEA Grapalat" w:hAnsi="GHEA Grapalat" w:cs="GHEA Grapalat"/>
          <w:sz w:val="22"/>
          <w:szCs w:val="22"/>
          <w:lang w:val="hy-AM"/>
        </w:rPr>
        <w:t xml:space="preserve"> ընդհանուր առմամբ 2.25 տոկոսային կետով՝ սահմանելով այն 10%: </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w:t>
      </w:r>
      <w:r w:rsidR="00082E1D" w:rsidRPr="000F6B0F">
        <w:rPr>
          <w:rFonts w:ascii="GHEA Grapalat" w:hAnsi="GHEA Grapalat" w:cs="GHEA Grapalat"/>
          <w:sz w:val="22"/>
          <w:szCs w:val="22"/>
          <w:lang w:val="hy-AM"/>
        </w:rPr>
        <w:t>ինն ամիսներին</w:t>
      </w:r>
      <w:r w:rsidRPr="00CB15FF">
        <w:rPr>
          <w:rFonts w:ascii="GHEA Grapalat" w:hAnsi="GHEA Grapalat" w:cs="GHEA Grapalat"/>
          <w:sz w:val="22"/>
          <w:szCs w:val="22"/>
          <w:lang w:val="hy-AM"/>
        </w:rPr>
        <w:t xml:space="preserve"> բանկային համակարգի վարկերի ծավալները 2021 թվականի վերջի համեմատությամբ սկսել են աճել՝ արտացոլելով տնտեսական բարձր ակտիվության պայմաններում վարկերի նկատմամբ պահանջարկի վերականգնումը։ Ընդ որում</w:t>
      </w:r>
      <w:r w:rsidRPr="000F6B0F">
        <w:rPr>
          <w:rFonts w:ascii="GHEA Grapalat" w:hAnsi="GHEA Grapalat" w:cs="GHEA Grapalat"/>
          <w:sz w:val="22"/>
          <w:szCs w:val="22"/>
          <w:lang w:val="hy-AM"/>
        </w:rPr>
        <w:t>,</w:t>
      </w:r>
      <w:r w:rsidRPr="00CB15FF">
        <w:rPr>
          <w:rFonts w:ascii="GHEA Grapalat" w:hAnsi="GHEA Grapalat" w:cs="GHEA Grapalat"/>
          <w:sz w:val="22"/>
          <w:szCs w:val="22"/>
          <w:lang w:val="hy-AM"/>
        </w:rPr>
        <w:t xml:space="preserve"> վարկերի աճը հիմնականում պայմանավորվել է </w:t>
      </w:r>
      <w:r w:rsidR="004320B5" w:rsidRPr="00CB15FF">
        <w:rPr>
          <w:rFonts w:ascii="GHEA Grapalat" w:hAnsi="GHEA Grapalat" w:cs="GHEA Grapalat"/>
          <w:sz w:val="22"/>
          <w:szCs w:val="22"/>
          <w:lang w:val="hy-AM"/>
        </w:rPr>
        <w:t>հիպոտեկ</w:t>
      </w:r>
      <w:r w:rsidRPr="00CB15FF">
        <w:rPr>
          <w:rFonts w:ascii="GHEA Grapalat" w:hAnsi="GHEA Grapalat" w:cs="GHEA Grapalat"/>
          <w:sz w:val="22"/>
          <w:szCs w:val="22"/>
          <w:lang w:val="hy-AM"/>
        </w:rPr>
        <w:t xml:space="preserve">ային վարկերի աճով, որի վրա շարունակում է իր դրական ազդեցությունն ունենալ եկամտային հարկի վերադարձի քաղաքականությունը։ Ավանդները բարձր աճի տեմպեր են գրանցել՝ արտացոլելով ինչպես անհատների, այնպես էլ ձեռնարկությունների ավանդների աճի միտումները (ընդ որում, ինչպես վարկերի, այնպես էլ ավանդների աճի հաշվարկվող տեմպերը նվազեցրել է դրամի արժևորումը)։ </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Ինչպես վարկերի և ավանդների, այնպես էլ ՀՀ պետական պարտատոմսերի և եվրոբոնդերի տոկոսադրույքները 2022</w:t>
      </w:r>
      <w:r w:rsidRPr="000F6B0F">
        <w:rPr>
          <w:rFonts w:ascii="GHEA Grapalat" w:hAnsi="GHEA Grapalat" w:cs="GHEA Grapalat"/>
          <w:sz w:val="22"/>
          <w:szCs w:val="22"/>
          <w:lang w:val="hy-AM"/>
        </w:rPr>
        <w:t xml:space="preserve"> </w:t>
      </w:r>
      <w:r w:rsidRPr="00CB15FF">
        <w:rPr>
          <w:rFonts w:ascii="GHEA Grapalat" w:hAnsi="GHEA Grapalat" w:cs="GHEA Grapalat"/>
          <w:sz w:val="22"/>
          <w:szCs w:val="22"/>
          <w:lang w:val="hy-AM"/>
        </w:rPr>
        <w:t>թ</w:t>
      </w:r>
      <w:r w:rsidRPr="000F6B0F">
        <w:rPr>
          <w:rFonts w:ascii="GHEA Grapalat" w:hAnsi="GHEA Grapalat" w:cs="GHEA Grapalat"/>
          <w:sz w:val="22"/>
          <w:szCs w:val="22"/>
          <w:lang w:val="hy-AM"/>
        </w:rPr>
        <w:t>վական</w:t>
      </w:r>
      <w:r w:rsidRPr="00CB15FF">
        <w:rPr>
          <w:rFonts w:ascii="GHEA Grapalat" w:hAnsi="GHEA Grapalat" w:cs="GHEA Grapalat"/>
          <w:sz w:val="22"/>
          <w:szCs w:val="22"/>
          <w:lang w:val="hy-AM"/>
        </w:rPr>
        <w:t>ի հունվար-սեպտեմբեր ամիսների ընթացքում աճի միտումներ են ցուցաբերել՝ արտացոլելով գնաճային սպասումների ավելացումը, դրամավարկային պայմանների կոշտացումը, ինչպես նաև միջազգային ֆինանսական շուկաներում տոկոսադրույքների բարձրացումը և տարածաշրջանային անկայուն միջավայրով պայմանավորված</w:t>
      </w:r>
      <w:r w:rsidRPr="000F6B0F">
        <w:rPr>
          <w:rFonts w:ascii="GHEA Grapalat" w:hAnsi="GHEA Grapalat" w:cs="GHEA Grapalat"/>
          <w:sz w:val="22"/>
          <w:szCs w:val="22"/>
          <w:lang w:val="hy-AM"/>
        </w:rPr>
        <w:t>՝</w:t>
      </w:r>
      <w:r w:rsidRPr="00CB15FF">
        <w:rPr>
          <w:rFonts w:ascii="GHEA Grapalat" w:hAnsi="GHEA Grapalat" w:cs="GHEA Grapalat"/>
          <w:sz w:val="22"/>
          <w:szCs w:val="22"/>
          <w:lang w:val="hy-AM"/>
        </w:rPr>
        <w:t xml:space="preserve"> ՀՀ երկրի ռիսկի հավելավճարի աճը։</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ինն ամիսների հարկման բազաների բարձր աճի և 2021 թվականի հարկային օրենսդրության փոփոխությունների պայմաններում ՀՀ պետական բյուջեի հարկային եկամուտներն աճել են բարձր տեմպերով՝ կազմելով 1405.8 մլրդ դրամ և նախորդ տարվա նույն ժամանակահատվածի համեմատ աճելով 23.6%-ով: </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ինն ամիսներին բարձր տնտեսական աճի պայմաններում հարկաբյուջետային քաղաքականության ազդեցությունն ամբողջական պահանաջարկի վրա եղել է զսպող: Ընդ որում, պետական բյուջեի եկամուտների գերակատարման և ծախսերի թերակատարման </w:t>
      </w:r>
      <w:r w:rsidRPr="00CB15FF">
        <w:rPr>
          <w:rFonts w:ascii="GHEA Grapalat" w:hAnsi="GHEA Grapalat" w:cs="GHEA Grapalat"/>
          <w:sz w:val="22"/>
          <w:szCs w:val="22"/>
          <w:lang w:val="hy-AM"/>
        </w:rPr>
        <w:lastRenderedPageBreak/>
        <w:t xml:space="preserve">արդյունքում ձևավորվել է պետական բյուջեի հավելուրդ՝ պլանավորված պակասուրդի փոխարեն: </w:t>
      </w:r>
    </w:p>
    <w:p w:rsidR="00024510" w:rsidRPr="000F6B0F" w:rsidRDefault="00E042C2" w:rsidP="000F6B0F">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2022</w:t>
      </w:r>
      <w:r w:rsidRPr="000F6B0F">
        <w:rPr>
          <w:rFonts w:ascii="GHEA Grapalat" w:hAnsi="GHEA Grapalat" w:cs="GHEA Grapalat"/>
          <w:sz w:val="22"/>
          <w:szCs w:val="22"/>
          <w:lang w:val="hy-AM"/>
        </w:rPr>
        <w:t xml:space="preserve"> </w:t>
      </w:r>
      <w:r w:rsidRPr="00CB15FF">
        <w:rPr>
          <w:rFonts w:ascii="GHEA Grapalat" w:hAnsi="GHEA Grapalat" w:cs="GHEA Grapalat"/>
          <w:sz w:val="22"/>
          <w:szCs w:val="22"/>
          <w:lang w:val="hy-AM"/>
        </w:rPr>
        <w:t>թ</w:t>
      </w:r>
      <w:r w:rsidRPr="000F6B0F">
        <w:rPr>
          <w:rFonts w:ascii="GHEA Grapalat" w:hAnsi="GHEA Grapalat" w:cs="GHEA Grapalat"/>
          <w:sz w:val="22"/>
          <w:szCs w:val="22"/>
          <w:lang w:val="hy-AM"/>
        </w:rPr>
        <w:t>վականի</w:t>
      </w:r>
      <w:r w:rsidRPr="00CB15FF">
        <w:rPr>
          <w:rFonts w:ascii="GHEA Grapalat" w:hAnsi="GHEA Grapalat" w:cs="GHEA Grapalat"/>
          <w:sz w:val="22"/>
          <w:szCs w:val="22"/>
          <w:lang w:val="hy-AM"/>
        </w:rPr>
        <w:t xml:space="preserve"> հունվար-սեպտեմբերին շարունակել են իրականացվել համավարակի և Արցախյան պատերազմի հետևանքների մեղմ</w:t>
      </w:r>
      <w:r w:rsidRPr="000F6B0F">
        <w:rPr>
          <w:rFonts w:ascii="GHEA Grapalat" w:hAnsi="GHEA Grapalat" w:cs="GHEA Grapalat"/>
          <w:sz w:val="22"/>
          <w:szCs w:val="22"/>
          <w:lang w:val="hy-AM"/>
        </w:rPr>
        <w:t>մ</w:t>
      </w:r>
      <w:r w:rsidRPr="00CB15FF">
        <w:rPr>
          <w:rFonts w:ascii="GHEA Grapalat" w:hAnsi="GHEA Grapalat" w:cs="GHEA Grapalat"/>
          <w:sz w:val="22"/>
          <w:szCs w:val="22"/>
          <w:lang w:val="hy-AM"/>
        </w:rPr>
        <w:t>անն ուղղված միջոցառումները, ինչպես նաև նախաձեռնվել և իրականացվել են արտարժույթի մեծ ներհոսքի հետևանքով դրամի արժևորման և բարձր գնաճային միջավայրի հետևանքների մեղմմա</w:t>
      </w:r>
      <w:r w:rsidRPr="000F6B0F">
        <w:rPr>
          <w:rFonts w:ascii="GHEA Grapalat" w:hAnsi="GHEA Grapalat" w:cs="GHEA Grapalat"/>
          <w:sz w:val="22"/>
          <w:szCs w:val="22"/>
          <w:lang w:val="hy-AM"/>
        </w:rPr>
        <w:t>ն</w:t>
      </w:r>
      <w:r w:rsidRPr="00CB15FF">
        <w:rPr>
          <w:rFonts w:ascii="GHEA Grapalat" w:hAnsi="GHEA Grapalat" w:cs="GHEA Grapalat"/>
          <w:sz w:val="22"/>
          <w:szCs w:val="22"/>
          <w:lang w:val="hy-AM"/>
        </w:rPr>
        <w:t>ն ուղղված հարկաբյուջետային միջոցառումներ: Մասնավորապես՝ ՀՀ դրամի արժևորման պայմաններում արտահանելի հատվածին աջակցելու նպատակով իրականացվել են արտահանելի հատվածի և ՏՏ ոլորտի աջակցության ծրագրեր, իսկ գնաճի ազդեցությունների մեղմ</w:t>
      </w:r>
      <w:r w:rsidR="0016486D" w:rsidRPr="000F6B0F">
        <w:rPr>
          <w:rFonts w:ascii="GHEA Grapalat" w:hAnsi="GHEA Grapalat" w:cs="GHEA Grapalat"/>
          <w:sz w:val="22"/>
          <w:szCs w:val="22"/>
          <w:lang w:val="hy-AM"/>
        </w:rPr>
        <w:t>մ</w:t>
      </w:r>
      <w:r w:rsidRPr="00CB15FF">
        <w:rPr>
          <w:rFonts w:ascii="GHEA Grapalat" w:hAnsi="GHEA Grapalat" w:cs="GHEA Grapalat"/>
          <w:sz w:val="22"/>
          <w:szCs w:val="22"/>
          <w:lang w:val="hy-AM"/>
        </w:rPr>
        <w:t>ա</w:t>
      </w:r>
      <w:r w:rsidR="0016486D" w:rsidRPr="000F6B0F">
        <w:rPr>
          <w:rFonts w:ascii="GHEA Grapalat" w:hAnsi="GHEA Grapalat" w:cs="GHEA Grapalat"/>
          <w:sz w:val="22"/>
          <w:szCs w:val="22"/>
          <w:lang w:val="hy-AM"/>
        </w:rPr>
        <w:t>ն</w:t>
      </w:r>
      <w:r w:rsidRPr="00CB15FF">
        <w:rPr>
          <w:rFonts w:ascii="GHEA Grapalat" w:hAnsi="GHEA Grapalat" w:cs="GHEA Grapalat"/>
          <w:sz w:val="22"/>
          <w:szCs w:val="22"/>
          <w:lang w:val="hy-AM"/>
        </w:rPr>
        <w:t xml:space="preserve"> նպատակով բարձրացվել են սոցիալական ծախսերը և գյուղատնտեսության ոլորտի սուբսիդիաների ծավալները:</w:t>
      </w:r>
    </w:p>
    <w:p w:rsidR="00563135" w:rsidRPr="000F6B0F" w:rsidRDefault="00756F85" w:rsidP="00B32EBF">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CB15FF">
        <w:rPr>
          <w:rFonts w:ascii="GHEA Grapalat" w:hAnsi="GHEA Grapalat" w:cs="GHEA Grapalat"/>
          <w:sz w:val="22"/>
          <w:szCs w:val="22"/>
          <w:lang w:val="hy-AM"/>
        </w:rPr>
        <w:t xml:space="preserve"> </w:t>
      </w:r>
      <w:r w:rsidRPr="00CB15FF">
        <w:rPr>
          <w:rFonts w:ascii="GHEA Grapalat" w:hAnsi="GHEA Grapalat" w:cs="Sylfaen"/>
          <w:noProof/>
          <w:sz w:val="22"/>
          <w:szCs w:val="22"/>
          <w:lang w:val="hy-AM"/>
        </w:rPr>
        <w:br w:type="page"/>
      </w:r>
    </w:p>
    <w:p w:rsidR="00563135" w:rsidRPr="00CB15FF"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9" w:name="_Toc71283305"/>
      <w:bookmarkStart w:id="10" w:name="_Toc71311879"/>
      <w:bookmarkStart w:id="11" w:name="_Toc165291845"/>
      <w:r w:rsidRPr="00CB15FF">
        <w:rPr>
          <w:rFonts w:ascii="GHEA Grapalat" w:hAnsi="GHEA Grapalat"/>
          <w:i w:val="0"/>
          <w:noProof/>
          <w:sz w:val="22"/>
          <w:szCs w:val="22"/>
          <w:lang w:val="de-AT"/>
        </w:rPr>
        <w:lastRenderedPageBreak/>
        <w:t>ՄԱԿՐՈՏՆՏԵՍԱԿԱՆ ԶԱՐԳԱՑՈՒՄՆԵՐ</w:t>
      </w:r>
      <w:bookmarkEnd w:id="9"/>
      <w:bookmarkEnd w:id="10"/>
      <w:bookmarkEnd w:id="11"/>
    </w:p>
    <w:p w:rsidR="00563135" w:rsidRPr="00CB15FF"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2" w:name="_Toc71283306"/>
      <w:bookmarkStart w:id="13" w:name="_Toc71311880"/>
      <w:bookmarkStart w:id="14" w:name="_Toc165291846"/>
      <w:r w:rsidRPr="00CB15FF">
        <w:rPr>
          <w:rFonts w:ascii="GHEA Grapalat" w:hAnsi="GHEA Grapalat"/>
          <w:bCs/>
          <w:i w:val="0"/>
          <w:noProof/>
          <w:sz w:val="22"/>
          <w:szCs w:val="22"/>
          <w:lang w:val="de-AT"/>
        </w:rPr>
        <w:t>Արտաքին միջավայրի զարգացումներ</w:t>
      </w:r>
      <w:bookmarkEnd w:id="12"/>
      <w:bookmarkEnd w:id="13"/>
      <w:bookmarkEnd w:id="14"/>
    </w:p>
    <w:p w:rsidR="00563135" w:rsidRPr="000F6B0F" w:rsidRDefault="00563135" w:rsidP="00E22A16">
      <w:pPr>
        <w:spacing w:line="360" w:lineRule="auto"/>
        <w:ind w:firstLine="567"/>
        <w:jc w:val="both"/>
        <w:rPr>
          <w:rFonts w:ascii="GHEA Grapalat" w:eastAsia="GHEA Grapalat" w:hAnsi="GHEA Grapalat" w:cs="GHEA Grapalat"/>
          <w:sz w:val="22"/>
          <w:szCs w:val="22"/>
          <w:lang w:val="hy-AM"/>
        </w:rPr>
      </w:pPr>
      <w:r w:rsidRPr="00CB15FF">
        <w:rPr>
          <w:rFonts w:ascii="GHEA Grapalat" w:hAnsi="GHEA Grapalat" w:cs="GHEA Grapalat"/>
          <w:b/>
          <w:i/>
          <w:sz w:val="22"/>
          <w:szCs w:val="22"/>
          <w:lang w:val="hy-AM"/>
        </w:rPr>
        <w:t>Տնտեսական զարգացումներ:</w:t>
      </w:r>
      <w:r w:rsidRPr="00CB15FF">
        <w:rPr>
          <w:rFonts w:ascii="GHEA Grapalat" w:hAnsi="GHEA Grapalat" w:cs="GHEA Grapalat"/>
          <w:sz w:val="22"/>
          <w:szCs w:val="22"/>
          <w:lang w:val="hy-AM"/>
        </w:rPr>
        <w:t xml:space="preserve"> </w:t>
      </w:r>
      <w:r w:rsidR="0044083A" w:rsidRPr="000F6B0F">
        <w:rPr>
          <w:rFonts w:ascii="GHEA Grapalat" w:eastAsia="GHEA Grapalat" w:hAnsi="GHEA Grapalat" w:cs="GHEA Grapalat"/>
          <w:sz w:val="22"/>
          <w:szCs w:val="22"/>
          <w:lang w:val="hy-AM"/>
        </w:rPr>
        <w:t xml:space="preserve">2022 թվականի ինն ամիսներին հիմնական գործընկեր երկրների տնտեսություններում նկատվել </w:t>
      </w:r>
      <w:r w:rsidR="00AA1BA3" w:rsidRPr="000F6B0F">
        <w:rPr>
          <w:rFonts w:ascii="GHEA Grapalat" w:eastAsia="GHEA Grapalat" w:hAnsi="GHEA Grapalat" w:cs="GHEA Grapalat"/>
          <w:sz w:val="22"/>
          <w:szCs w:val="22"/>
          <w:lang w:val="hy-AM"/>
        </w:rPr>
        <w:t xml:space="preserve">է </w:t>
      </w:r>
      <w:r w:rsidR="0044083A" w:rsidRPr="000F6B0F">
        <w:rPr>
          <w:rFonts w:ascii="GHEA Grapalat" w:eastAsia="GHEA Grapalat" w:hAnsi="GHEA Grapalat" w:cs="GHEA Grapalat"/>
          <w:sz w:val="22"/>
          <w:szCs w:val="22"/>
          <w:lang w:val="hy-AM"/>
        </w:rPr>
        <w:t xml:space="preserve">տնտեսական </w:t>
      </w:r>
      <w:r w:rsidR="00AA1BA3" w:rsidRPr="000F6B0F">
        <w:rPr>
          <w:rFonts w:ascii="GHEA Grapalat" w:eastAsia="GHEA Grapalat" w:hAnsi="GHEA Grapalat" w:cs="GHEA Grapalat"/>
          <w:sz w:val="22"/>
          <w:szCs w:val="22"/>
          <w:lang w:val="hy-AM"/>
        </w:rPr>
        <w:t>աճ</w:t>
      </w:r>
      <w:r w:rsidR="0044083A" w:rsidRPr="000F6B0F">
        <w:rPr>
          <w:rFonts w:ascii="GHEA Grapalat" w:eastAsia="GHEA Grapalat" w:hAnsi="GHEA Grapalat" w:cs="GHEA Grapalat"/>
          <w:sz w:val="22"/>
          <w:szCs w:val="22"/>
          <w:lang w:val="hy-AM"/>
        </w:rPr>
        <w:t>ի դանդաղում՝ պայմանավորված ռուս-ուկրաինական հակամարտությամբ և դրա արդյունքում ՌԴ նկատմամբ կիրառվող աննախադեպ պատժամիջոցների բացասական ազդեցություններով։ Ապրիլ ամսից ՌԴ-ում դրսևորվել է տնտեսական անկում: ԱՄՆ տնտեսությունն առաջացած բարձր գնաճային ճնշումների և խստացող դրամավարկային քաղաքականության պայմաններում</w:t>
      </w:r>
      <w:r w:rsidR="0044083A" w:rsidRPr="000F6B0F">
        <w:rPr>
          <w:rFonts w:ascii="GHEA Grapalat" w:eastAsia="GHEA Grapalat" w:hAnsi="GHEA Grapalat" w:cs="GHEA Grapalat"/>
          <w:b/>
          <w:sz w:val="22"/>
          <w:szCs w:val="22"/>
          <w:lang w:val="hy-AM"/>
        </w:rPr>
        <w:t xml:space="preserve"> </w:t>
      </w:r>
      <w:r w:rsidR="0044083A" w:rsidRPr="000F6B0F">
        <w:rPr>
          <w:rFonts w:ascii="GHEA Grapalat" w:eastAsia="GHEA Grapalat" w:hAnsi="GHEA Grapalat" w:cs="GHEA Grapalat"/>
          <w:sz w:val="22"/>
          <w:szCs w:val="22"/>
          <w:lang w:val="hy-AM"/>
        </w:rPr>
        <w:t>2022</w:t>
      </w:r>
      <w:r w:rsidR="00360A9D" w:rsidRPr="000F6B0F">
        <w:rPr>
          <w:rFonts w:ascii="GHEA Grapalat" w:eastAsia="GHEA Grapalat" w:hAnsi="GHEA Grapalat" w:cs="GHEA Grapalat"/>
          <w:sz w:val="22"/>
          <w:szCs w:val="22"/>
          <w:lang w:val="hy-AM"/>
        </w:rPr>
        <w:t xml:space="preserve"> </w:t>
      </w:r>
      <w:r w:rsidR="0044083A" w:rsidRPr="000F6B0F">
        <w:rPr>
          <w:rFonts w:ascii="GHEA Grapalat" w:eastAsia="GHEA Grapalat" w:hAnsi="GHEA Grapalat" w:cs="GHEA Grapalat"/>
          <w:sz w:val="22"/>
          <w:szCs w:val="22"/>
          <w:lang w:val="hy-AM"/>
        </w:rPr>
        <w:t>թ</w:t>
      </w:r>
      <w:r w:rsidR="00360A9D" w:rsidRPr="000F6B0F">
        <w:rPr>
          <w:rFonts w:ascii="GHEA Grapalat" w:eastAsia="GHEA Grapalat" w:hAnsi="GHEA Grapalat" w:cs="GHEA Grapalat"/>
          <w:sz w:val="22"/>
          <w:szCs w:val="22"/>
          <w:lang w:val="hy-AM"/>
        </w:rPr>
        <w:t>վականի</w:t>
      </w:r>
      <w:r w:rsidR="0044083A" w:rsidRPr="000F6B0F">
        <w:rPr>
          <w:rFonts w:ascii="GHEA Grapalat" w:eastAsia="GHEA Grapalat" w:hAnsi="GHEA Grapalat" w:cs="GHEA Grapalat"/>
          <w:sz w:val="22"/>
          <w:szCs w:val="22"/>
          <w:lang w:val="hy-AM"/>
        </w:rPr>
        <w:t xml:space="preserve"> հունվար-սեպտեմբեր ամիսներին նախորդ տարվա համապատասխան ժամանակահատվածի նկատմամբ միջինում գրանցել է</w:t>
      </w:r>
      <w:r w:rsidR="00AA1BA3" w:rsidRPr="000F6B0F">
        <w:rPr>
          <w:rFonts w:ascii="GHEA Grapalat" w:eastAsia="GHEA Grapalat" w:hAnsi="GHEA Grapalat" w:cs="GHEA Grapalat"/>
          <w:sz w:val="22"/>
          <w:szCs w:val="22"/>
          <w:lang w:val="hy-AM"/>
        </w:rPr>
        <w:t xml:space="preserve"> </w:t>
      </w:r>
      <w:r w:rsidR="0044083A" w:rsidRPr="000F6B0F">
        <w:rPr>
          <w:rFonts w:ascii="GHEA Grapalat" w:eastAsia="GHEA Grapalat" w:hAnsi="GHEA Grapalat" w:cs="GHEA Grapalat"/>
          <w:sz w:val="22"/>
          <w:szCs w:val="22"/>
          <w:lang w:val="hy-AM"/>
        </w:rPr>
        <w:t>2.4% տնտեսական աճ, ընդ որում՝ առաջին եռամսյակում աճը կազմել է 3</w:t>
      </w:r>
      <w:r w:rsidR="0044083A" w:rsidRPr="000F6B0F">
        <w:rPr>
          <w:rFonts w:ascii="Cambria Math" w:eastAsia="GHEA Grapalat" w:hAnsi="Cambria Math" w:cs="Cambria Math"/>
          <w:sz w:val="22"/>
          <w:szCs w:val="22"/>
          <w:lang w:val="hy-AM"/>
        </w:rPr>
        <w:t>․</w:t>
      </w:r>
      <w:r w:rsidR="0044083A" w:rsidRPr="000F6B0F">
        <w:rPr>
          <w:rFonts w:ascii="GHEA Grapalat" w:eastAsia="GHEA Grapalat" w:hAnsi="GHEA Grapalat"/>
          <w:sz w:val="22"/>
          <w:szCs w:val="22"/>
          <w:lang w:val="hy-AM"/>
        </w:rPr>
        <w:t>7</w:t>
      </w:r>
      <w:bookmarkStart w:id="15" w:name="_Hlk118747100"/>
      <w:r w:rsidR="0044083A" w:rsidRPr="000F6B0F">
        <w:rPr>
          <w:rFonts w:ascii="GHEA Grapalat" w:eastAsia="GHEA Grapalat" w:hAnsi="GHEA Grapalat"/>
          <w:sz w:val="22"/>
          <w:szCs w:val="22"/>
          <w:lang w:val="hy-AM"/>
        </w:rPr>
        <w:t>%,</w:t>
      </w:r>
      <w:bookmarkEnd w:id="15"/>
      <w:r w:rsidR="0044083A" w:rsidRPr="000F6B0F">
        <w:rPr>
          <w:rFonts w:ascii="GHEA Grapalat" w:eastAsia="GHEA Grapalat" w:hAnsi="GHEA Grapalat"/>
          <w:sz w:val="22"/>
          <w:szCs w:val="22"/>
          <w:lang w:val="hy-AM"/>
        </w:rPr>
        <w:t xml:space="preserve"> իսկ երրորդ </w:t>
      </w:r>
      <w:r w:rsidR="0044083A" w:rsidRPr="000F6B0F">
        <w:rPr>
          <w:rFonts w:ascii="GHEA Grapalat" w:eastAsia="GHEA Grapalat" w:hAnsi="GHEA Grapalat" w:cs="GHEA Grapalat"/>
          <w:sz w:val="22"/>
          <w:szCs w:val="22"/>
          <w:lang w:val="hy-AM"/>
        </w:rPr>
        <w:t xml:space="preserve">եռամսյակում արձանագրվել է 1.8% աճ։ </w:t>
      </w:r>
      <w:r w:rsidR="00360A9D" w:rsidRPr="000F6B0F">
        <w:rPr>
          <w:rFonts w:ascii="GHEA Grapalat" w:eastAsia="GHEA Grapalat" w:hAnsi="GHEA Grapalat" w:cs="GHEA Grapalat"/>
          <w:sz w:val="22"/>
          <w:szCs w:val="22"/>
          <w:lang w:val="hy-AM"/>
        </w:rPr>
        <w:t>Եվրա</w:t>
      </w:r>
      <w:r w:rsidR="0044083A" w:rsidRPr="000F6B0F">
        <w:rPr>
          <w:rFonts w:ascii="GHEA Grapalat" w:eastAsia="GHEA Grapalat" w:hAnsi="GHEA Grapalat" w:cs="GHEA Grapalat"/>
          <w:sz w:val="22"/>
          <w:szCs w:val="22"/>
          <w:lang w:val="hy-AM"/>
        </w:rPr>
        <w:t>գոտու տնտեսությունը բարձր գնաճային ճնշումների պայմաններում ինն ամիսներին միջինում աճել է 4</w:t>
      </w:r>
      <w:r w:rsidR="0044083A" w:rsidRPr="000F6B0F">
        <w:rPr>
          <w:rFonts w:ascii="Cambria Math" w:eastAsia="GHEA Grapalat" w:hAnsi="Cambria Math" w:cs="Cambria Math"/>
          <w:sz w:val="22"/>
          <w:szCs w:val="22"/>
          <w:lang w:val="hy-AM"/>
        </w:rPr>
        <w:t>․</w:t>
      </w:r>
      <w:r w:rsidR="0044083A" w:rsidRPr="000F6B0F">
        <w:rPr>
          <w:rFonts w:ascii="GHEA Grapalat" w:eastAsia="GHEA Grapalat" w:hAnsi="GHEA Grapalat"/>
          <w:sz w:val="22"/>
          <w:szCs w:val="22"/>
          <w:lang w:val="hy-AM"/>
        </w:rPr>
        <w:t>0</w:t>
      </w:r>
      <w:r w:rsidR="0044083A" w:rsidRPr="000F6B0F">
        <w:rPr>
          <w:rFonts w:ascii="GHEA Grapalat" w:eastAsia="GHEA Grapalat" w:hAnsi="GHEA Grapalat" w:cs="GHEA Grapalat"/>
          <w:sz w:val="22"/>
          <w:szCs w:val="22"/>
          <w:lang w:val="hy-AM"/>
        </w:rPr>
        <w:t>%-ով</w:t>
      </w:r>
      <w:r w:rsidR="0044083A" w:rsidRPr="00CB15FF">
        <w:rPr>
          <w:rFonts w:ascii="GHEA Grapalat" w:eastAsia="GHEA Grapalat" w:hAnsi="GHEA Grapalat" w:cs="GHEA Grapalat"/>
          <w:sz w:val="22"/>
          <w:szCs w:val="22"/>
          <w:vertAlign w:val="superscript"/>
        </w:rPr>
        <w:footnoteReference w:id="1"/>
      </w:r>
      <w:r w:rsidR="0044083A" w:rsidRPr="000F6B0F">
        <w:rPr>
          <w:rFonts w:ascii="GHEA Grapalat" w:eastAsia="GHEA Grapalat" w:hAnsi="GHEA Grapalat" w:cs="GHEA Grapalat"/>
          <w:sz w:val="22"/>
          <w:szCs w:val="22"/>
          <w:lang w:val="hy-AM"/>
        </w:rPr>
        <w:t>, առաջին եռամսյակում գրացվել է 5</w:t>
      </w:r>
      <w:r w:rsidR="0044083A" w:rsidRPr="000F6B0F">
        <w:rPr>
          <w:rFonts w:ascii="Cambria Math" w:eastAsia="GHEA Grapalat" w:hAnsi="Cambria Math" w:cs="Cambria Math"/>
          <w:sz w:val="22"/>
          <w:szCs w:val="22"/>
          <w:lang w:val="hy-AM"/>
        </w:rPr>
        <w:t>․</w:t>
      </w:r>
      <w:r w:rsidR="0044083A" w:rsidRPr="000F6B0F">
        <w:rPr>
          <w:rFonts w:ascii="GHEA Grapalat" w:eastAsia="GHEA Grapalat" w:hAnsi="GHEA Grapalat" w:cs="GHEA Grapalat"/>
          <w:sz w:val="22"/>
          <w:szCs w:val="22"/>
          <w:lang w:val="hy-AM"/>
        </w:rPr>
        <w:t>5</w:t>
      </w:r>
      <w:r w:rsidR="0044083A" w:rsidRPr="000F6B0F">
        <w:rPr>
          <w:rFonts w:ascii="GHEA Grapalat" w:eastAsia="GHEA Grapalat" w:hAnsi="GHEA Grapalat"/>
          <w:sz w:val="22"/>
          <w:szCs w:val="22"/>
          <w:lang w:val="hy-AM"/>
        </w:rPr>
        <w:t xml:space="preserve">% տնտեսական աճ, </w:t>
      </w:r>
      <w:r w:rsidR="0044083A" w:rsidRPr="000F6B0F">
        <w:rPr>
          <w:rFonts w:ascii="GHEA Grapalat" w:eastAsia="GHEA Grapalat" w:hAnsi="GHEA Grapalat" w:cs="GHEA Grapalat"/>
          <w:sz w:val="22"/>
          <w:szCs w:val="22"/>
          <w:lang w:val="hy-AM"/>
        </w:rPr>
        <w:t>իսկ երրորդ եռամսյակում խստացող դրամավարկային քաղաքականության պայմաններում աճը դանդաղել է՝ հասնելով 2.1%-ի։ Չինաստանում հունվար-սեպտեմբեր ամիսներին միջինում գրանցվել է 3% տնտեսական աճ</w:t>
      </w:r>
      <w:r w:rsidR="0044083A" w:rsidRPr="00CB15FF">
        <w:rPr>
          <w:rFonts w:ascii="GHEA Grapalat" w:eastAsia="GHEA Grapalat" w:hAnsi="GHEA Grapalat" w:cs="GHEA Grapalat"/>
          <w:sz w:val="22"/>
          <w:szCs w:val="22"/>
          <w:vertAlign w:val="superscript"/>
        </w:rPr>
        <w:footnoteReference w:id="2"/>
      </w:r>
      <w:r w:rsidR="0044083A" w:rsidRPr="000F6B0F">
        <w:rPr>
          <w:rFonts w:ascii="GHEA Grapalat" w:eastAsia="GHEA Grapalat" w:hAnsi="GHEA Grapalat" w:cs="GHEA Grapalat"/>
          <w:sz w:val="22"/>
          <w:szCs w:val="22"/>
          <w:lang w:val="hy-AM"/>
        </w:rPr>
        <w:t>, ընդ որում՝ առաջին եռամսյակի 4</w:t>
      </w:r>
      <w:r w:rsidR="0044083A" w:rsidRPr="000F6B0F">
        <w:rPr>
          <w:rFonts w:ascii="Cambria Math" w:eastAsia="GHEA Grapalat" w:hAnsi="Cambria Math" w:cs="Cambria Math"/>
          <w:sz w:val="22"/>
          <w:szCs w:val="22"/>
          <w:lang w:val="hy-AM"/>
        </w:rPr>
        <w:t>․</w:t>
      </w:r>
      <w:r w:rsidR="0044083A" w:rsidRPr="000F6B0F">
        <w:rPr>
          <w:rFonts w:ascii="GHEA Grapalat" w:eastAsia="GHEA Grapalat" w:hAnsi="GHEA Grapalat"/>
          <w:sz w:val="22"/>
          <w:szCs w:val="22"/>
          <w:lang w:val="hy-AM"/>
        </w:rPr>
        <w:t>8% աճի դիմաց երկրորդ եռամսյակում աճը դանդաղել է՝ հասնելով 0</w:t>
      </w:r>
      <w:r w:rsidR="0044083A" w:rsidRPr="000F6B0F">
        <w:rPr>
          <w:rFonts w:ascii="Cambria Math" w:eastAsia="GHEA Grapalat" w:hAnsi="Cambria Math" w:cs="Cambria Math"/>
          <w:sz w:val="22"/>
          <w:szCs w:val="22"/>
          <w:lang w:val="hy-AM"/>
        </w:rPr>
        <w:t>․</w:t>
      </w:r>
      <w:r w:rsidR="0044083A" w:rsidRPr="000F6B0F">
        <w:rPr>
          <w:rFonts w:ascii="GHEA Grapalat" w:eastAsia="GHEA Grapalat" w:hAnsi="GHEA Grapalat"/>
          <w:sz w:val="22"/>
          <w:szCs w:val="22"/>
          <w:lang w:val="hy-AM"/>
        </w:rPr>
        <w:t xml:space="preserve">4%-ի, սակայն </w:t>
      </w:r>
      <w:r w:rsidR="0044083A" w:rsidRPr="000F6B0F">
        <w:rPr>
          <w:rFonts w:ascii="GHEA Grapalat" w:eastAsia="GHEA Grapalat" w:hAnsi="GHEA Grapalat" w:cs="GHEA Grapalat"/>
          <w:sz w:val="22"/>
          <w:szCs w:val="22"/>
          <w:lang w:val="hy-AM"/>
        </w:rPr>
        <w:t>վերջին ժամանակահատվածում նկատվել է տնտեսական ակտիվության որոշակի վերականգնում, արդյունքում երրորդ եռամսյակում գրանցվել է 3.9% տնտեսական աճ: Ռուսաստանի տնտեսությունը 2022 թվականի ինն ամիսներին նախորդ տարվա նույն ժամանակահատվածի նկատմամբ գրանցել է շուրջ 2% նվազում, ընդ որում՝ երրորդ եռամսյակում տնտեսական անկումը խորացել է՝ կազմելով 4.4%</w:t>
      </w:r>
      <w:r w:rsidR="0044083A" w:rsidRPr="00CB15FF">
        <w:rPr>
          <w:rStyle w:val="FootnoteReference"/>
          <w:rFonts w:ascii="GHEA Grapalat" w:eastAsia="GHEA Grapalat" w:hAnsi="GHEA Grapalat" w:cs="GHEA Grapalat"/>
          <w:sz w:val="22"/>
          <w:szCs w:val="22"/>
        </w:rPr>
        <w:footnoteReference w:id="3"/>
      </w:r>
      <w:r w:rsidR="0044083A" w:rsidRPr="000F6B0F">
        <w:rPr>
          <w:rFonts w:ascii="GHEA Grapalat" w:eastAsia="GHEA Grapalat" w:hAnsi="GHEA Grapalat" w:cs="GHEA Grapalat"/>
          <w:sz w:val="22"/>
          <w:szCs w:val="22"/>
          <w:lang w:val="hy-AM"/>
        </w:rPr>
        <w:t>։</w:t>
      </w:r>
    </w:p>
    <w:p w:rsidR="0044083A" w:rsidRPr="000F6B0F" w:rsidRDefault="00563135" w:rsidP="0044083A">
      <w:pPr>
        <w:spacing w:line="336" w:lineRule="auto"/>
        <w:ind w:firstLine="450"/>
        <w:jc w:val="both"/>
        <w:rPr>
          <w:rFonts w:ascii="GHEA Grapalat" w:eastAsia="GHEA Grapalat" w:hAnsi="GHEA Grapalat" w:cs="GHEA Grapalat"/>
          <w:sz w:val="22"/>
          <w:szCs w:val="22"/>
          <w:lang w:val="hy-AM"/>
        </w:rPr>
      </w:pPr>
      <w:r w:rsidRPr="00CB15FF">
        <w:rPr>
          <w:rFonts w:ascii="GHEA Grapalat" w:hAnsi="GHEA Grapalat" w:cs="GHEA Grapalat"/>
          <w:b/>
          <w:i/>
          <w:sz w:val="22"/>
          <w:szCs w:val="22"/>
          <w:lang w:val="hy-AM"/>
        </w:rPr>
        <w:t>Միջազգային գներ</w:t>
      </w:r>
      <w:r w:rsidRPr="00CB15FF">
        <w:rPr>
          <w:rFonts w:ascii="GHEA Grapalat" w:hAnsi="GHEA Grapalat"/>
          <w:b/>
          <w:i/>
          <w:sz w:val="22"/>
          <w:szCs w:val="22"/>
          <w:vertAlign w:val="superscript"/>
          <w:lang w:val="hy-AM"/>
        </w:rPr>
        <w:footnoteReference w:id="4"/>
      </w:r>
      <w:r w:rsidRPr="00CB15FF">
        <w:rPr>
          <w:rFonts w:ascii="GHEA Grapalat" w:hAnsi="GHEA Grapalat" w:cs="GHEA Grapalat"/>
          <w:b/>
          <w:i/>
          <w:sz w:val="22"/>
          <w:szCs w:val="22"/>
          <w:lang w:val="hy-AM"/>
        </w:rPr>
        <w:t>:</w:t>
      </w:r>
      <w:r w:rsidR="0044083A" w:rsidRPr="000F6B0F">
        <w:rPr>
          <w:rFonts w:ascii="GHEA Grapalat" w:eastAsia="GHEA Grapalat" w:hAnsi="GHEA Grapalat" w:cs="GHEA Grapalat"/>
          <w:b/>
          <w:sz w:val="22"/>
          <w:szCs w:val="22"/>
          <w:lang w:val="hy-AM"/>
        </w:rPr>
        <w:t xml:space="preserve"> </w:t>
      </w:r>
      <w:r w:rsidR="0044083A" w:rsidRPr="000F6B0F">
        <w:rPr>
          <w:rFonts w:ascii="GHEA Grapalat" w:eastAsia="GHEA Grapalat" w:hAnsi="GHEA Grapalat" w:cs="GHEA Grapalat"/>
          <w:sz w:val="22"/>
          <w:szCs w:val="22"/>
          <w:lang w:val="hy-AM"/>
        </w:rPr>
        <w:t>Համաշխարհային խաթարված արժեշղթաների և ռուս-ուկրաինական հակամարտության հետևանքով առաջացած մի շարք սահմանափակումների պայմաններում</w:t>
      </w:r>
      <w:r w:rsidR="00AA1BA3" w:rsidRPr="000F6B0F">
        <w:rPr>
          <w:rFonts w:ascii="GHEA Grapalat" w:eastAsia="GHEA Grapalat" w:hAnsi="GHEA Grapalat" w:cs="GHEA Grapalat"/>
          <w:sz w:val="22"/>
          <w:szCs w:val="22"/>
          <w:lang w:val="hy-AM"/>
        </w:rPr>
        <w:t xml:space="preserve"> </w:t>
      </w:r>
      <w:r w:rsidR="0044083A" w:rsidRPr="000F6B0F">
        <w:rPr>
          <w:rFonts w:ascii="GHEA Grapalat" w:eastAsia="GHEA Grapalat" w:hAnsi="GHEA Grapalat" w:cs="GHEA Grapalat"/>
          <w:sz w:val="22"/>
          <w:szCs w:val="22"/>
          <w:lang w:val="hy-AM"/>
        </w:rPr>
        <w:t>հումքային և պարենային ապրանքների շուկաներում պահպանվում է բարձր գնային միջավայրը, սակայն վերջին ժամանակահատվածում համաշխարհային արժեշղթաների որոշակի վերականգման և խստացող դրամավարկային քաղաքականությունների պայմաններում նկատվում է գնաճային ճնշումների թուլացում։ Նավթի միջազգային գները 2022 թվականի ինն ամիսներին նախորդ տարվա նույն ժամանակահատվածի նկատմամբ աճել են շուրջ 5</w:t>
      </w:r>
      <w:r w:rsidR="0044083A" w:rsidRPr="000F6B0F">
        <w:rPr>
          <w:rFonts w:ascii="GHEA Grapalat" w:eastAsia="GHEA Grapalat" w:hAnsi="GHEA Grapalat"/>
          <w:sz w:val="22"/>
          <w:szCs w:val="22"/>
          <w:lang w:val="hy-AM"/>
        </w:rPr>
        <w:t>4</w:t>
      </w:r>
      <w:r w:rsidR="0044083A" w:rsidRPr="000F6B0F">
        <w:rPr>
          <w:rFonts w:ascii="GHEA Grapalat" w:eastAsia="GHEA Grapalat" w:hAnsi="GHEA Grapalat" w:cs="GHEA Grapalat"/>
          <w:sz w:val="22"/>
          <w:szCs w:val="22"/>
          <w:lang w:val="hy-AM"/>
        </w:rPr>
        <w:t>%-ով։</w:t>
      </w:r>
      <w:r w:rsidR="00AA1BA3" w:rsidRPr="000F6B0F">
        <w:rPr>
          <w:rFonts w:ascii="GHEA Grapalat" w:eastAsia="GHEA Grapalat" w:hAnsi="GHEA Grapalat" w:cs="GHEA Grapalat"/>
          <w:sz w:val="22"/>
          <w:szCs w:val="22"/>
          <w:lang w:val="hy-AM"/>
        </w:rPr>
        <w:t xml:space="preserve"> </w:t>
      </w:r>
      <w:r w:rsidR="0044083A" w:rsidRPr="000F6B0F">
        <w:rPr>
          <w:rFonts w:ascii="GHEA Grapalat" w:eastAsia="GHEA Grapalat" w:hAnsi="GHEA Grapalat" w:cs="GHEA Grapalat"/>
          <w:sz w:val="22"/>
          <w:szCs w:val="22"/>
          <w:lang w:val="hy-AM"/>
        </w:rPr>
        <w:t>Նավթի գները 2022 թվականի հունիսին հասել էին վերջին 10 տարվա ընթացքում աննախադեպ մակարդակի՝ միջինում կազմելով</w:t>
      </w:r>
      <w:r w:rsidR="00AA1BA3" w:rsidRPr="000F6B0F">
        <w:rPr>
          <w:rFonts w:ascii="GHEA Grapalat" w:eastAsia="GHEA Grapalat" w:hAnsi="GHEA Grapalat" w:cs="GHEA Grapalat"/>
          <w:sz w:val="22"/>
          <w:szCs w:val="22"/>
          <w:lang w:val="hy-AM"/>
        </w:rPr>
        <w:t xml:space="preserve"> </w:t>
      </w:r>
      <w:r w:rsidR="0044083A" w:rsidRPr="000F6B0F">
        <w:rPr>
          <w:rFonts w:ascii="GHEA Grapalat" w:eastAsia="GHEA Grapalat" w:hAnsi="GHEA Grapalat" w:cs="GHEA Grapalat"/>
          <w:sz w:val="22"/>
          <w:szCs w:val="22"/>
          <w:lang w:val="hy-AM"/>
        </w:rPr>
        <w:lastRenderedPageBreak/>
        <w:t>120 դոլար մեկ բարելի համար, սակայն հաջորդող երեք ամիսներին նախորդ ամիսների համեմատ շարունակաբար նվազել են՝ սեպտեմբերին հասնելով շուրջ 90 դոլար</w:t>
      </w:r>
      <w:r w:rsidR="00360A9D" w:rsidRPr="000F6B0F">
        <w:rPr>
          <w:rFonts w:ascii="GHEA Grapalat" w:eastAsia="GHEA Grapalat" w:hAnsi="GHEA Grapalat" w:cs="GHEA Grapalat"/>
          <w:sz w:val="22"/>
          <w:szCs w:val="22"/>
          <w:lang w:val="hy-AM"/>
        </w:rPr>
        <w:t>ի</w:t>
      </w:r>
      <w:r w:rsidR="0044083A" w:rsidRPr="000F6B0F">
        <w:rPr>
          <w:rFonts w:ascii="GHEA Grapalat" w:eastAsia="GHEA Grapalat" w:hAnsi="GHEA Grapalat" w:cs="GHEA Grapalat"/>
          <w:sz w:val="22"/>
          <w:szCs w:val="22"/>
          <w:lang w:val="hy-AM"/>
        </w:rPr>
        <w:t xml:space="preserve"> մեկ բարելի դիմաց: </w:t>
      </w:r>
    </w:p>
    <w:p w:rsidR="0044083A" w:rsidRPr="000F6B0F" w:rsidRDefault="0044083A" w:rsidP="0044083A">
      <w:pPr>
        <w:spacing w:line="336" w:lineRule="auto"/>
        <w:ind w:firstLine="450"/>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t>Պղնձի համաշխարհային գները 2022</w:t>
      </w:r>
      <w:r w:rsidR="00360A9D"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թ</w:t>
      </w:r>
      <w:r w:rsidR="00360A9D" w:rsidRPr="000F6B0F">
        <w:rPr>
          <w:rFonts w:ascii="GHEA Grapalat" w:eastAsia="GHEA Grapalat" w:hAnsi="GHEA Grapalat" w:cs="GHEA Grapalat"/>
          <w:sz w:val="22"/>
          <w:szCs w:val="22"/>
          <w:lang w:val="hy-AM"/>
        </w:rPr>
        <w:t>վականի</w:t>
      </w:r>
      <w:r w:rsidRPr="000F6B0F">
        <w:rPr>
          <w:rFonts w:ascii="GHEA Grapalat" w:eastAsia="GHEA Grapalat" w:hAnsi="GHEA Grapalat"/>
          <w:sz w:val="22"/>
          <w:szCs w:val="22"/>
          <w:lang w:val="hy-AM"/>
        </w:rPr>
        <w:t xml:space="preserve"> հունվար-սեպտեմբեր ամիսներին նախորդ տարվա նույն ժամանակահատվածի նկատմամբ նվազել են 1</w:t>
      </w:r>
      <w:r w:rsidRPr="000F6B0F">
        <w:rPr>
          <w:rFonts w:ascii="Cambria Math" w:eastAsia="GHEA Grapalat" w:hAnsi="Cambria Math" w:cs="Cambria Math"/>
          <w:sz w:val="22"/>
          <w:szCs w:val="22"/>
          <w:lang w:val="hy-AM"/>
        </w:rPr>
        <w:t>․</w:t>
      </w:r>
      <w:r w:rsidRPr="000F6B0F">
        <w:rPr>
          <w:rFonts w:ascii="GHEA Grapalat" w:eastAsia="GHEA Grapalat" w:hAnsi="GHEA Grapalat"/>
          <w:sz w:val="22"/>
          <w:szCs w:val="22"/>
          <w:lang w:val="hy-AM"/>
        </w:rPr>
        <w:t>1</w:t>
      </w:r>
      <w:r w:rsidRPr="000F6B0F">
        <w:rPr>
          <w:rFonts w:ascii="GHEA Grapalat" w:eastAsia="GHEA Grapalat" w:hAnsi="GHEA Grapalat" w:cs="GHEA Grapalat"/>
          <w:sz w:val="22"/>
          <w:szCs w:val="22"/>
          <w:lang w:val="hy-AM"/>
        </w:rPr>
        <w:t>%-ով։</w:t>
      </w:r>
      <w:r w:rsidR="00AA1BA3"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Հարկ է նշել, որ 2022</w:t>
      </w:r>
      <w:r w:rsidR="00360A9D"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թ</w:t>
      </w:r>
      <w:r w:rsidR="00360A9D" w:rsidRPr="000F6B0F">
        <w:rPr>
          <w:rFonts w:ascii="GHEA Grapalat" w:eastAsia="GHEA Grapalat" w:hAnsi="GHEA Grapalat" w:cs="GHEA Grapalat"/>
          <w:sz w:val="22"/>
          <w:szCs w:val="22"/>
          <w:lang w:val="hy-AM"/>
        </w:rPr>
        <w:t>վականի</w:t>
      </w:r>
      <w:r w:rsidRPr="000F6B0F">
        <w:rPr>
          <w:rFonts w:ascii="GHEA Grapalat" w:eastAsia="GHEA Grapalat" w:hAnsi="GHEA Grapalat"/>
          <w:sz w:val="22"/>
          <w:szCs w:val="22"/>
          <w:lang w:val="hy-AM"/>
        </w:rPr>
        <w:t xml:space="preserve"> մարտ ամսին պղնձի միջազգային գները հասել էին աննախադեպ բարձր մակարդակի՝ 1 տոննայի համար միջինում 10231 դոլար, սակայն ապրիլ ամսից, հիմնականում պայմանավորված</w:t>
      </w:r>
      <w:r w:rsidRPr="000F6B0F">
        <w:rPr>
          <w:rFonts w:ascii="GHEA Grapalat" w:eastAsia="GHEA Grapalat" w:hAnsi="GHEA Grapalat" w:cs="GHEA Grapalat"/>
          <w:sz w:val="22"/>
          <w:szCs w:val="22"/>
          <w:lang w:val="hy-AM"/>
        </w:rPr>
        <w:t xml:space="preserve"> Չինաստանի կողմից պահանջարկի կրճատմամբ,</w:t>
      </w:r>
      <w:r w:rsidRPr="000F6B0F">
        <w:rPr>
          <w:rFonts w:ascii="GHEA Grapalat" w:eastAsia="GHEA Grapalat" w:hAnsi="GHEA Grapalat"/>
          <w:sz w:val="22"/>
          <w:szCs w:val="22"/>
          <w:lang w:val="hy-AM"/>
        </w:rPr>
        <w:t xml:space="preserve"> նկատվեց նախորդ ամիսների նկատմամբ պղնձի գների կտրուկ նվազում՝</w:t>
      </w:r>
      <w:r w:rsidR="00AA1BA3" w:rsidRPr="000F6B0F">
        <w:rPr>
          <w:rFonts w:ascii="GHEA Grapalat" w:eastAsia="GHEA Grapalat" w:hAnsi="GHEA Grapalat"/>
          <w:sz w:val="22"/>
          <w:szCs w:val="22"/>
          <w:lang w:val="hy-AM"/>
        </w:rPr>
        <w:t xml:space="preserve"> </w:t>
      </w:r>
      <w:r w:rsidRPr="000F6B0F">
        <w:rPr>
          <w:rFonts w:ascii="GHEA Grapalat" w:eastAsia="GHEA Grapalat" w:hAnsi="GHEA Grapalat"/>
          <w:sz w:val="22"/>
          <w:szCs w:val="22"/>
          <w:lang w:val="hy-AM"/>
        </w:rPr>
        <w:t>սեպտեմբերին հասնելով</w:t>
      </w:r>
      <w:r w:rsidR="00AA1BA3" w:rsidRPr="000F6B0F">
        <w:rPr>
          <w:rFonts w:ascii="GHEA Grapalat" w:eastAsia="GHEA Grapalat" w:hAnsi="GHEA Grapalat"/>
          <w:sz w:val="22"/>
          <w:szCs w:val="22"/>
          <w:lang w:val="hy-AM"/>
        </w:rPr>
        <w:t xml:space="preserve"> </w:t>
      </w:r>
      <w:r w:rsidRPr="000F6B0F">
        <w:rPr>
          <w:rFonts w:ascii="GHEA Grapalat" w:eastAsia="GHEA Grapalat" w:hAnsi="GHEA Grapalat"/>
          <w:sz w:val="22"/>
          <w:szCs w:val="22"/>
          <w:lang w:val="hy-AM"/>
        </w:rPr>
        <w:t>7746 դոլար</w:t>
      </w:r>
      <w:r w:rsidR="00360A9D" w:rsidRPr="000F6B0F">
        <w:rPr>
          <w:rFonts w:ascii="GHEA Grapalat" w:eastAsia="GHEA Grapalat" w:hAnsi="GHEA Grapalat"/>
          <w:sz w:val="22"/>
          <w:szCs w:val="22"/>
          <w:lang w:val="hy-AM"/>
        </w:rPr>
        <w:t>ի</w:t>
      </w:r>
      <w:r w:rsidRPr="000F6B0F">
        <w:rPr>
          <w:rFonts w:ascii="GHEA Grapalat" w:eastAsia="GHEA Grapalat" w:hAnsi="GHEA Grapalat"/>
          <w:sz w:val="22"/>
          <w:szCs w:val="22"/>
          <w:lang w:val="hy-AM"/>
        </w:rPr>
        <w:t xml:space="preserve"> 1 տոննայի համար</w:t>
      </w:r>
      <w:r w:rsidRPr="000F6B0F">
        <w:rPr>
          <w:rFonts w:ascii="GHEA Grapalat" w:eastAsia="GHEA Grapalat" w:hAnsi="GHEA Grapalat" w:cs="GHEA Grapalat"/>
          <w:sz w:val="22"/>
          <w:szCs w:val="22"/>
          <w:lang w:val="hy-AM"/>
        </w:rPr>
        <w:t>։</w:t>
      </w:r>
    </w:p>
    <w:p w:rsidR="00563135" w:rsidRPr="00CB15FF" w:rsidRDefault="0044083A" w:rsidP="0044083A">
      <w:pPr>
        <w:spacing w:line="360" w:lineRule="auto"/>
        <w:ind w:firstLine="567"/>
        <w:jc w:val="both"/>
        <w:rPr>
          <w:rFonts w:ascii="GHEA Grapalat" w:hAnsi="GHEA Grapalat" w:cs="GHEA Grapalat"/>
          <w:sz w:val="22"/>
          <w:szCs w:val="22"/>
          <w:lang w:val="hy-AM"/>
        </w:rPr>
      </w:pPr>
      <w:r w:rsidRPr="000F6B0F">
        <w:rPr>
          <w:rFonts w:ascii="GHEA Grapalat" w:eastAsia="GHEA Grapalat" w:hAnsi="GHEA Grapalat" w:cs="GHEA Grapalat"/>
          <w:sz w:val="22"/>
          <w:szCs w:val="22"/>
          <w:lang w:val="hy-AM"/>
        </w:rPr>
        <w:t>Պարենի միջազգային գները</w:t>
      </w:r>
      <w:r w:rsidRPr="00CB15FF">
        <w:rPr>
          <w:rFonts w:ascii="GHEA Grapalat" w:eastAsia="GHEA Grapalat" w:hAnsi="GHEA Grapalat" w:cs="GHEA Grapalat"/>
          <w:sz w:val="22"/>
          <w:szCs w:val="22"/>
          <w:vertAlign w:val="superscript"/>
        </w:rPr>
        <w:footnoteReference w:id="5"/>
      </w:r>
      <w:r w:rsidRPr="000F6B0F">
        <w:rPr>
          <w:rFonts w:ascii="GHEA Grapalat" w:eastAsia="GHEA Grapalat" w:hAnsi="GHEA Grapalat" w:cs="GHEA Grapalat"/>
          <w:sz w:val="22"/>
          <w:szCs w:val="22"/>
          <w:lang w:val="hy-AM"/>
        </w:rPr>
        <w:t xml:space="preserve"> 2022</w:t>
      </w:r>
      <w:r w:rsidR="00360A9D"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թ</w:t>
      </w:r>
      <w:r w:rsidR="00360A9D" w:rsidRPr="000F6B0F">
        <w:rPr>
          <w:rFonts w:ascii="GHEA Grapalat" w:eastAsia="GHEA Grapalat" w:hAnsi="GHEA Grapalat" w:cs="GHEA Grapalat"/>
          <w:sz w:val="22"/>
          <w:szCs w:val="22"/>
          <w:lang w:val="hy-AM"/>
        </w:rPr>
        <w:t>վականի</w:t>
      </w:r>
      <w:r w:rsidRPr="000F6B0F">
        <w:rPr>
          <w:rFonts w:ascii="GHEA Grapalat" w:eastAsia="GHEA Grapalat" w:hAnsi="GHEA Grapalat"/>
          <w:sz w:val="22"/>
          <w:szCs w:val="22"/>
          <w:lang w:val="hy-AM"/>
        </w:rPr>
        <w:t xml:space="preserve"> հունվար-սեպտեմբեր ամիսներին նախորդ տարվա նույն ժամանակահատվածի նկատմամբ աճել են շուրջ 19</w:t>
      </w:r>
      <w:r w:rsidRPr="000F6B0F">
        <w:rPr>
          <w:rFonts w:ascii="Cambria Math" w:eastAsia="GHEA Grapalat" w:hAnsi="Cambria Math" w:cs="Cambria Math"/>
          <w:sz w:val="22"/>
          <w:szCs w:val="22"/>
          <w:lang w:val="hy-AM"/>
        </w:rPr>
        <w:t>․</w:t>
      </w:r>
      <w:r w:rsidRPr="000F6B0F">
        <w:rPr>
          <w:rFonts w:ascii="GHEA Grapalat" w:eastAsia="GHEA Grapalat" w:hAnsi="GHEA Grapalat"/>
          <w:sz w:val="22"/>
          <w:szCs w:val="22"/>
          <w:lang w:val="hy-AM"/>
        </w:rPr>
        <w:t>5</w:t>
      </w:r>
      <w:r w:rsidRPr="000F6B0F">
        <w:rPr>
          <w:rFonts w:ascii="GHEA Grapalat" w:eastAsia="GHEA Grapalat" w:hAnsi="GHEA Grapalat" w:cs="GHEA Grapalat"/>
          <w:sz w:val="22"/>
          <w:szCs w:val="22"/>
          <w:lang w:val="hy-AM"/>
        </w:rPr>
        <w:t>%-ով։ Հարկ է նշել, որ պարենի միջազգային գները 2022</w:t>
      </w:r>
      <w:r w:rsidR="00360A9D"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թ</w:t>
      </w:r>
      <w:r w:rsidR="00360A9D" w:rsidRPr="000F6B0F">
        <w:rPr>
          <w:rFonts w:ascii="GHEA Grapalat" w:eastAsia="GHEA Grapalat" w:hAnsi="GHEA Grapalat" w:cs="GHEA Grapalat"/>
          <w:sz w:val="22"/>
          <w:szCs w:val="22"/>
          <w:lang w:val="hy-AM"/>
        </w:rPr>
        <w:t>վականի</w:t>
      </w:r>
      <w:r w:rsidRPr="000F6B0F">
        <w:rPr>
          <w:rFonts w:ascii="GHEA Grapalat" w:eastAsia="GHEA Grapalat" w:hAnsi="GHEA Grapalat"/>
          <w:sz w:val="22"/>
          <w:szCs w:val="22"/>
          <w:lang w:val="hy-AM"/>
        </w:rPr>
        <w:t xml:space="preserve"> մարտ ամսին գրանցած աննախադեպ բարձր մակարդակից հետո ապրիլ ամսից սկսել են նախորդ ամսվա նկատմամբ շարունակաբար նվազել</w:t>
      </w:r>
      <w:r w:rsidR="00360A9D" w:rsidRPr="000F6B0F">
        <w:rPr>
          <w:rFonts w:ascii="GHEA Grapalat" w:eastAsia="GHEA Grapalat" w:hAnsi="GHEA Grapalat"/>
          <w:sz w:val="22"/>
          <w:szCs w:val="22"/>
          <w:lang w:val="hy-AM"/>
        </w:rPr>
        <w:t>՝</w:t>
      </w:r>
      <w:r w:rsidRPr="000F6B0F">
        <w:rPr>
          <w:rFonts w:ascii="GHEA Grapalat" w:eastAsia="GHEA Grapalat" w:hAnsi="GHEA Grapalat"/>
          <w:sz w:val="22"/>
          <w:szCs w:val="22"/>
          <w:lang w:val="hy-AM"/>
        </w:rPr>
        <w:t xml:space="preserve"> պայմանավորված որոշ </w:t>
      </w:r>
      <w:r w:rsidRPr="000F6B0F">
        <w:rPr>
          <w:rFonts w:ascii="GHEA Grapalat" w:eastAsia="GHEA Grapalat" w:hAnsi="GHEA Grapalat" w:cs="GHEA Grapalat"/>
          <w:sz w:val="22"/>
          <w:szCs w:val="22"/>
          <w:lang w:val="hy-AM"/>
        </w:rPr>
        <w:t>ապրանքների (մսամթերք, կաթնամթերք, հացահատիկ, բուսական յուղեր, շաքարավազ) միջազգային գների նվազմամբ։</w:t>
      </w:r>
    </w:p>
    <w:p w:rsidR="00563135" w:rsidRPr="00CB15FF"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6" w:name="_Toc71283307"/>
      <w:bookmarkStart w:id="17" w:name="_Toc71311881"/>
      <w:bookmarkStart w:id="18" w:name="_Toc165291847"/>
      <w:r w:rsidRPr="00CB15FF">
        <w:rPr>
          <w:rFonts w:ascii="GHEA Grapalat" w:hAnsi="GHEA Grapalat"/>
          <w:bCs/>
          <w:i w:val="0"/>
          <w:noProof/>
          <w:sz w:val="22"/>
          <w:szCs w:val="22"/>
          <w:lang w:val="de-AT"/>
        </w:rPr>
        <w:t>ՀՀ մակրոտնտեսական զարգացումներ</w:t>
      </w:r>
      <w:bookmarkEnd w:id="16"/>
      <w:bookmarkEnd w:id="17"/>
      <w:bookmarkEnd w:id="18"/>
    </w:p>
    <w:p w:rsidR="00563135" w:rsidRPr="00CB15FF" w:rsidRDefault="00563135" w:rsidP="00563135">
      <w:pPr>
        <w:pStyle w:val="Heading6"/>
        <w:ind w:left="567"/>
        <w:rPr>
          <w:rFonts w:ascii="GHEA Grapalat" w:hAnsi="GHEA Grapalat"/>
          <w:b/>
          <w:sz w:val="22"/>
          <w:szCs w:val="22"/>
          <w:u w:val="none"/>
        </w:rPr>
      </w:pPr>
      <w:bookmarkStart w:id="19" w:name="_Toc71311882"/>
      <w:r w:rsidRPr="00CB15FF">
        <w:rPr>
          <w:rFonts w:ascii="GHEA Grapalat" w:hAnsi="GHEA Grapalat"/>
          <w:b/>
          <w:sz w:val="22"/>
          <w:szCs w:val="22"/>
          <w:u w:val="none"/>
        </w:rPr>
        <w:t>Համախառն առաջարկ և պահանջարկ</w:t>
      </w:r>
      <w:bookmarkEnd w:id="19"/>
    </w:p>
    <w:p w:rsidR="003A11F5" w:rsidRPr="00CB15FF" w:rsidRDefault="00563135" w:rsidP="0044083A">
      <w:pPr>
        <w:spacing w:line="360" w:lineRule="auto"/>
        <w:ind w:firstLine="567"/>
        <w:jc w:val="both"/>
        <w:rPr>
          <w:rFonts w:ascii="GHEA Grapalat" w:hAnsi="GHEA Grapalat" w:cs="GHEA Grapalat"/>
          <w:b/>
          <w:i/>
          <w:sz w:val="22"/>
          <w:szCs w:val="22"/>
        </w:rPr>
      </w:pPr>
      <w:r w:rsidRPr="00CB15FF">
        <w:rPr>
          <w:rFonts w:ascii="GHEA Grapalat" w:hAnsi="GHEA Grapalat" w:cs="GHEA Grapalat"/>
          <w:b/>
          <w:i/>
          <w:sz w:val="22"/>
          <w:szCs w:val="22"/>
          <w:lang w:val="hy-AM"/>
        </w:rPr>
        <w:t>Համախառն առաջարկ</w:t>
      </w:r>
    </w:p>
    <w:p w:rsidR="0044083A"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t>ՀՀ տնտեսության վերականգնման տարեսկզբի բարձր տեմպերը 2022 թվականի փետրվարի վերջերից սկիզբ առած ռուս-ուկրաինական հակամարտության և Ռուսաստանի դեմ կիրառված պատժամիջոցների բացասական ազդեցությունների արդյունքում մարտ ամսին դանդաղեցին։ Ապրիլ ամսից տնտեսական ակտիվության աճի տեմպերը կտրուկ արագացան, որը պահպանվեց երրորդ եռամսյակում՝ կրելով նաև սեպտեմբերին միգրանտների երկրորդ ալիքի տնտեսական ազդեցությունները: Արդյունքում 2022</w:t>
      </w:r>
      <w:r w:rsidR="00971D12" w:rsidRPr="00CB15FF">
        <w:rPr>
          <w:rFonts w:ascii="GHEA Grapalat" w:eastAsia="GHEA Grapalat" w:hAnsi="GHEA Grapalat"/>
          <w:sz w:val="22"/>
          <w:szCs w:val="22"/>
        </w:rPr>
        <w:t xml:space="preserve"> </w:t>
      </w:r>
      <w:r w:rsidRPr="00CB15FF">
        <w:rPr>
          <w:rFonts w:ascii="GHEA Grapalat" w:eastAsia="GHEA Grapalat" w:hAnsi="GHEA Grapalat"/>
          <w:sz w:val="22"/>
          <w:szCs w:val="22"/>
        </w:rPr>
        <w:t>թ</w:t>
      </w:r>
      <w:r w:rsidR="00971D12" w:rsidRPr="00CB15FF">
        <w:rPr>
          <w:rFonts w:ascii="GHEA Grapalat" w:eastAsia="GHEA Grapalat" w:hAnsi="GHEA Grapalat"/>
          <w:sz w:val="22"/>
          <w:szCs w:val="22"/>
        </w:rPr>
        <w:t>վականի</w:t>
      </w:r>
      <w:r w:rsidRPr="00CB15FF">
        <w:rPr>
          <w:rFonts w:ascii="GHEA Grapalat" w:eastAsia="GHEA Grapalat" w:hAnsi="GHEA Grapalat"/>
          <w:sz w:val="22"/>
          <w:szCs w:val="22"/>
        </w:rPr>
        <w:t xml:space="preserve"> ինն ամիսներին նախորդ տարվա նույն ժամանակահատվածի համեմատ գրանցվեց տնտեսական ակտիվության ցուցանիշի 14.1% աճ (Գծապատկերներ 1-</w:t>
      </w:r>
      <w:proofErr w:type="gramStart"/>
      <w:r w:rsidRPr="00CB15FF">
        <w:rPr>
          <w:rFonts w:ascii="GHEA Grapalat" w:eastAsia="GHEA Grapalat" w:hAnsi="GHEA Grapalat"/>
          <w:sz w:val="22"/>
          <w:szCs w:val="22"/>
        </w:rPr>
        <w:t>4)։</w:t>
      </w:r>
      <w:proofErr w:type="gramEnd"/>
      <w:r w:rsidRPr="00CB15FF">
        <w:rPr>
          <w:rFonts w:ascii="GHEA Grapalat" w:eastAsia="GHEA Grapalat" w:hAnsi="GHEA Grapalat"/>
          <w:sz w:val="22"/>
          <w:szCs w:val="22"/>
        </w:rPr>
        <w:t xml:space="preserve"> Տնտեսական ակտիվության աճը հիմնականում պայմանավորված էր ծառայությունների աճով (նպաստումը` 12.4 տոկոսային կետ): Արդյունաբերության, առևտրի, և շինարարության աճերը ևս նպաստեցին տնտեսական ակտիվությանը (համապատասխանաբար՝ 2.2, 1.8 և 1.0 տոկոսային կետ), մինչդեռ գյուղատնտեսության նվազումը 0.1 տոկոսային կետով հակազդեց տնտեսական ակտիվությանը:</w:t>
      </w:r>
    </w:p>
    <w:p w:rsidR="0044083A"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lastRenderedPageBreak/>
        <w:t>2022 թվականի փետրվարի 24-ից մեկնարկած ռուս-ուկրաինական պատերազմի և Ռուսաստանի դեմ կիրառված պատժամիջոցների բացասական ազդեցությունները ՀՀ տնտեսության վրա նկատվեցին մարտ ամսին։ Մասնավորապես՝ մարտ ամսին գրանցվեց արդյունաբերության նվազում (նախորդ տարվա մարտի նկատմամբ 6.4%-ով)՝ պայմանավորված Թեղուտի հանքի գործունեության դադարեցմամբ,</w:t>
      </w:r>
      <w:r w:rsidRPr="00CB15FF" w:rsidDel="00630B41">
        <w:rPr>
          <w:rFonts w:ascii="GHEA Grapalat" w:eastAsia="GHEA Grapalat" w:hAnsi="GHEA Grapalat"/>
          <w:sz w:val="22"/>
          <w:szCs w:val="22"/>
        </w:rPr>
        <w:t xml:space="preserve"> </w:t>
      </w:r>
      <w:r w:rsidRPr="00CB15FF">
        <w:rPr>
          <w:rFonts w:ascii="GHEA Grapalat" w:eastAsia="GHEA Grapalat" w:hAnsi="GHEA Grapalat"/>
          <w:sz w:val="22"/>
          <w:szCs w:val="22"/>
        </w:rPr>
        <w:t>ՌԴ տնտեսական աճի դանդաղմամբ և հումքային ու պարենային ապրանքների մատակարարման շղթաների որոշ խաթարումներով: Սակայն պատկերը փոխվեց ապրիլ ամսից, նախ</w:t>
      </w:r>
      <w:r w:rsidR="00971D12" w:rsidRPr="00CB15FF">
        <w:rPr>
          <w:rFonts w:ascii="GHEA Grapalat" w:eastAsia="GHEA Grapalat" w:hAnsi="GHEA Grapalat"/>
          <w:sz w:val="22"/>
          <w:szCs w:val="22"/>
        </w:rPr>
        <w:t>՝</w:t>
      </w:r>
      <w:r w:rsidRPr="00CB15FF">
        <w:rPr>
          <w:rFonts w:ascii="GHEA Grapalat" w:eastAsia="GHEA Grapalat" w:hAnsi="GHEA Grapalat"/>
          <w:sz w:val="22"/>
          <w:szCs w:val="22"/>
        </w:rPr>
        <w:t xml:space="preserve"> միջազգային զբոսաշրջիկների կտրուկ ավելացման (2022</w:t>
      </w:r>
      <w:r w:rsidR="004320B5" w:rsidRPr="00CB15FF">
        <w:rPr>
          <w:rFonts w:ascii="GHEA Grapalat" w:eastAsia="GHEA Grapalat" w:hAnsi="GHEA Grapalat"/>
          <w:sz w:val="22"/>
          <w:szCs w:val="22"/>
        </w:rPr>
        <w:t xml:space="preserve"> </w:t>
      </w:r>
      <w:r w:rsidRPr="00CB15FF">
        <w:rPr>
          <w:rFonts w:ascii="GHEA Grapalat" w:eastAsia="GHEA Grapalat" w:hAnsi="GHEA Grapalat"/>
          <w:sz w:val="22"/>
          <w:szCs w:val="22"/>
        </w:rPr>
        <w:t>թ</w:t>
      </w:r>
      <w:r w:rsidR="004320B5" w:rsidRPr="00CB15FF">
        <w:rPr>
          <w:rFonts w:ascii="GHEA Grapalat" w:eastAsia="GHEA Grapalat" w:hAnsi="GHEA Grapalat"/>
          <w:sz w:val="22"/>
          <w:szCs w:val="22"/>
        </w:rPr>
        <w:t>վականի</w:t>
      </w:r>
      <w:r w:rsidRPr="00CB15FF">
        <w:rPr>
          <w:rFonts w:ascii="GHEA Grapalat" w:eastAsia="GHEA Grapalat" w:hAnsi="GHEA Grapalat"/>
          <w:sz w:val="22"/>
          <w:szCs w:val="22"/>
        </w:rPr>
        <w:t xml:space="preserve"> հունվար-սեպտեմբերին նախորդ տարվա նույն ժամանակահատվածի նկատմամբ</w:t>
      </w:r>
      <w:r w:rsidR="004320B5" w:rsidRPr="00CB15FF">
        <w:rPr>
          <w:rFonts w:ascii="GHEA Grapalat" w:eastAsia="GHEA Grapalat" w:hAnsi="GHEA Grapalat"/>
          <w:sz w:val="22"/>
          <w:szCs w:val="22"/>
        </w:rPr>
        <w:t>՝</w:t>
      </w:r>
      <w:r w:rsidRPr="00CB15FF">
        <w:rPr>
          <w:rFonts w:ascii="GHEA Grapalat" w:eastAsia="GHEA Grapalat" w:hAnsi="GHEA Grapalat"/>
          <w:sz w:val="22"/>
          <w:szCs w:val="22"/>
        </w:rPr>
        <w:t xml:space="preserve"> 2.0 անգամ) և ՌԴ-ից ՏՏ ոլորտի աշխատակիցների և ընկերությունների</w:t>
      </w:r>
      <w:r w:rsidR="00971D12" w:rsidRPr="00CB15FF">
        <w:rPr>
          <w:rFonts w:ascii="GHEA Grapalat" w:eastAsia="GHEA Grapalat" w:hAnsi="GHEA Grapalat"/>
          <w:sz w:val="22"/>
          <w:szCs w:val="22"/>
        </w:rPr>
        <w:t>՝</w:t>
      </w:r>
      <w:r w:rsidRPr="00CB15FF">
        <w:rPr>
          <w:rFonts w:ascii="GHEA Grapalat" w:eastAsia="GHEA Grapalat" w:hAnsi="GHEA Grapalat"/>
          <w:sz w:val="22"/>
          <w:szCs w:val="22"/>
        </w:rPr>
        <w:t xml:space="preserve"> ՀՀ տեղափոխման, ինչպես նաև Ռուսաստանում հայտարարված մասնակի զորահավաքի հետևանքով դեպի Հայաստան միգրանտների նոր հոսքի արդյունքում, ծառայությունների, առևտրի ոլորտներում նկատվեց աճի տեմպերի արագացում: 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 ինչի արդյունքում արդյունաբերության ճյուղը սկսեց վերականգնվել: </w:t>
      </w:r>
    </w:p>
    <w:p w:rsidR="0044083A"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t xml:space="preserve">Տնտեսական դրական զարգացումներին իր նպաստումն է ունեցել բնակարանային շինարարության ոլորտի բարձր աշխուժությունը, որին նպաստել է </w:t>
      </w:r>
      <w:r w:rsidR="004320B5" w:rsidRPr="00CB15FF">
        <w:rPr>
          <w:rFonts w:ascii="GHEA Grapalat" w:eastAsia="GHEA Grapalat" w:hAnsi="GHEA Grapalat"/>
          <w:sz w:val="22"/>
          <w:szCs w:val="22"/>
        </w:rPr>
        <w:t>հիպոտեկ</w:t>
      </w:r>
      <w:r w:rsidRPr="00CB15FF">
        <w:rPr>
          <w:rFonts w:ascii="GHEA Grapalat" w:eastAsia="GHEA Grapalat" w:hAnsi="GHEA Grapalat"/>
          <w:sz w:val="22"/>
          <w:szCs w:val="22"/>
        </w:rPr>
        <w:t>ային վարկերի տոկոսավճարների</w:t>
      </w:r>
      <w:r w:rsidR="004320B5" w:rsidRPr="00CB15FF">
        <w:rPr>
          <w:rFonts w:ascii="GHEA Grapalat" w:eastAsia="GHEA Grapalat" w:hAnsi="GHEA Grapalat"/>
          <w:sz w:val="22"/>
          <w:szCs w:val="22"/>
        </w:rPr>
        <w:t>՝</w:t>
      </w:r>
      <w:r w:rsidRPr="00CB15FF">
        <w:rPr>
          <w:rFonts w:ascii="GHEA Grapalat" w:eastAsia="GHEA Grapalat" w:hAnsi="GHEA Grapalat"/>
          <w:sz w:val="22"/>
          <w:szCs w:val="22"/>
        </w:rPr>
        <w:t xml:space="preserve"> եկամտահարկից վերադարձման պետական աջակցության ծրագիրը, ծրագրի</w:t>
      </w:r>
      <w:r w:rsidR="004320B5" w:rsidRPr="00CB15FF">
        <w:rPr>
          <w:rFonts w:ascii="GHEA Grapalat" w:eastAsia="GHEA Grapalat" w:hAnsi="GHEA Grapalat"/>
          <w:sz w:val="22"/>
          <w:szCs w:val="22"/>
        </w:rPr>
        <w:t>՝</w:t>
      </w:r>
      <w:r w:rsidRPr="00CB15FF">
        <w:rPr>
          <w:rFonts w:ascii="GHEA Grapalat" w:eastAsia="GHEA Grapalat" w:hAnsi="GHEA Grapalat"/>
          <w:sz w:val="22"/>
          <w:szCs w:val="22"/>
        </w:rPr>
        <w:t xml:space="preserve"> Երևան քաղաքից </w:t>
      </w:r>
      <w:r w:rsidR="004320B5" w:rsidRPr="00CB15FF">
        <w:rPr>
          <w:rFonts w:ascii="GHEA Grapalat" w:eastAsia="GHEA Grapalat" w:hAnsi="GHEA Grapalat"/>
          <w:sz w:val="22"/>
          <w:szCs w:val="22"/>
        </w:rPr>
        <w:t xml:space="preserve">աստիճանական </w:t>
      </w:r>
      <w:r w:rsidRPr="00CB15FF">
        <w:rPr>
          <w:rFonts w:ascii="GHEA Grapalat" w:eastAsia="GHEA Grapalat" w:hAnsi="GHEA Grapalat"/>
          <w:sz w:val="22"/>
          <w:szCs w:val="22"/>
        </w:rPr>
        <w:t>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934257"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t>Առաջին ինն ամիսներին կորոնավիրուսի համավարակի հինգերորդ ալիքի, ինչպես նաև բնակչության շրջանում պատվաստման աճող, սակայն դեռևս համեմատաբար ցածր մակարդակի</w:t>
      </w:r>
      <w:r w:rsidR="00AA1BA3" w:rsidRPr="00CB15FF">
        <w:rPr>
          <w:rFonts w:ascii="GHEA Grapalat" w:eastAsia="GHEA Grapalat" w:hAnsi="GHEA Grapalat"/>
          <w:sz w:val="22"/>
          <w:szCs w:val="22"/>
        </w:rPr>
        <w:t xml:space="preserve"> </w:t>
      </w:r>
      <w:r w:rsidR="004320B5" w:rsidRPr="00CB15FF">
        <w:rPr>
          <w:rFonts w:ascii="GHEA Grapalat" w:eastAsia="GHEA Grapalat" w:hAnsi="GHEA Grapalat"/>
          <w:sz w:val="22"/>
          <w:szCs w:val="22"/>
        </w:rPr>
        <w:t>ազդեցություններ</w:t>
      </w:r>
      <w:r w:rsidRPr="00CB15FF">
        <w:rPr>
          <w:rFonts w:ascii="GHEA Grapalat" w:eastAsia="GHEA Grapalat" w:hAnsi="GHEA Grapalat"/>
          <w:sz w:val="22"/>
          <w:szCs w:val="22"/>
        </w:rPr>
        <w:t xml:space="preserve"> տնտեսության զարգացումների վրա չեն նկատվել</w:t>
      </w:r>
      <w:r w:rsidRPr="00CB15FF">
        <w:rPr>
          <w:rFonts w:ascii="GHEA Grapalat" w:eastAsia="GHEA Grapalat" w:hAnsi="GHEA Grapalat"/>
          <w:sz w:val="22"/>
          <w:szCs w:val="22"/>
          <w:vertAlign w:val="superscript"/>
        </w:rPr>
        <w:footnoteReference w:id="6"/>
      </w:r>
      <w:r w:rsidRPr="00CB15FF">
        <w:rPr>
          <w:rFonts w:ascii="GHEA Grapalat" w:eastAsia="GHEA Grapalat" w:hAnsi="GHEA Grapalat"/>
          <w:sz w:val="22"/>
          <w:szCs w:val="22"/>
        </w:rPr>
        <w:t>։</w:t>
      </w:r>
    </w:p>
    <w:p w:rsidR="00FC3234" w:rsidRPr="00CB15FF" w:rsidRDefault="00747183" w:rsidP="00FC3234">
      <w:pPr>
        <w:spacing w:line="336" w:lineRule="auto"/>
        <w:ind w:firstLine="54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Արդյունաբերություն</w:t>
      </w:r>
      <w:r w:rsidRPr="00CB15FF">
        <w:rPr>
          <w:rFonts w:ascii="GHEA Grapalat" w:hAnsi="GHEA Grapalat" w:cs="GHEA Grapalat"/>
          <w:b/>
          <w:i/>
          <w:sz w:val="22"/>
          <w:szCs w:val="22"/>
          <w:vertAlign w:val="superscript"/>
          <w:lang w:val="hy-AM"/>
        </w:rPr>
        <w:footnoteReference w:id="7"/>
      </w:r>
      <w:r w:rsidRPr="00CB15FF">
        <w:rPr>
          <w:rFonts w:ascii="GHEA Grapalat" w:hAnsi="GHEA Grapalat" w:cs="GHEA Grapalat"/>
          <w:b/>
          <w:i/>
          <w:sz w:val="22"/>
          <w:szCs w:val="22"/>
          <w:lang w:val="hy-AM"/>
        </w:rPr>
        <w:t>։</w:t>
      </w:r>
      <w:r w:rsidRPr="00CB15FF">
        <w:rPr>
          <w:rFonts w:ascii="GHEA Grapalat" w:eastAsia="GHEA Grapalat" w:hAnsi="GHEA Grapalat" w:cs="GHEA Grapalat"/>
          <w:b/>
          <w:sz w:val="22"/>
          <w:szCs w:val="22"/>
        </w:rPr>
        <w:t xml:space="preserve"> </w:t>
      </w:r>
      <w:r w:rsidR="00FC3234" w:rsidRPr="00CB15FF">
        <w:rPr>
          <w:rFonts w:ascii="GHEA Grapalat" w:eastAsia="GHEA Grapalat" w:hAnsi="GHEA Grapalat" w:cs="GHEA Grapalat"/>
          <w:bCs/>
          <w:sz w:val="22"/>
          <w:szCs w:val="22"/>
        </w:rPr>
        <w:t>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ազդեցություններով: Ապրիլ ամսից արդյունաբերության ճյուղը սկսեց վերականգնվել</w:t>
      </w:r>
      <w:r w:rsidR="004320B5" w:rsidRPr="00CB15FF">
        <w:rPr>
          <w:rFonts w:ascii="GHEA Grapalat" w:eastAsia="GHEA Grapalat" w:hAnsi="GHEA Grapalat" w:cs="GHEA Grapalat"/>
          <w:bCs/>
          <w:sz w:val="22"/>
          <w:szCs w:val="22"/>
        </w:rPr>
        <w:t>,</w:t>
      </w:r>
      <w:r w:rsidR="00FC3234" w:rsidRPr="00CB15FF">
        <w:rPr>
          <w:rFonts w:ascii="GHEA Grapalat" w:eastAsia="GHEA Grapalat" w:hAnsi="GHEA Grapalat" w:cs="GHEA Grapalat"/>
          <w:bCs/>
          <w:sz w:val="22"/>
          <w:szCs w:val="22"/>
        </w:rPr>
        <w:t xml:space="preserve"> և հունիսին արդյունաբերության ճյուղում գրանցվեց երկնիշ աճ, ինչը</w:t>
      </w:r>
      <w:r w:rsidR="00FC3234" w:rsidRPr="00CB15FF">
        <w:rPr>
          <w:rFonts w:ascii="GHEA Grapalat" w:eastAsia="GHEA Grapalat" w:hAnsi="GHEA Grapalat" w:cs="GHEA Grapalat"/>
          <w:sz w:val="22"/>
          <w:szCs w:val="22"/>
        </w:rPr>
        <w:t xml:space="preserve"> շարունակվեց նաև հաջորդող ամիսներին</w:t>
      </w:r>
      <w:r w:rsidR="004320B5" w:rsidRPr="00CB15FF">
        <w:rPr>
          <w:rFonts w:ascii="GHEA Grapalat" w:eastAsia="GHEA Grapalat" w:hAnsi="GHEA Grapalat" w:cs="GHEA Grapalat"/>
          <w:sz w:val="22"/>
          <w:szCs w:val="22"/>
        </w:rPr>
        <w:t>,</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GHEA Grapalat"/>
          <w:sz w:val="22"/>
          <w:szCs w:val="22"/>
        </w:rPr>
        <w:lastRenderedPageBreak/>
        <w:t>և</w:t>
      </w:r>
      <w:r w:rsidR="00AA1BA3"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GHEA Grapalat"/>
          <w:bCs/>
          <w:sz w:val="22"/>
          <w:szCs w:val="22"/>
        </w:rPr>
        <w:t xml:space="preserve">2022 թվականի ինն </w:t>
      </w:r>
      <w:r w:rsidR="004320B5" w:rsidRPr="00CB15FF">
        <w:rPr>
          <w:rFonts w:ascii="GHEA Grapalat" w:eastAsia="GHEA Grapalat" w:hAnsi="GHEA Grapalat" w:cs="GHEA Grapalat"/>
          <w:bCs/>
          <w:sz w:val="22"/>
          <w:szCs w:val="22"/>
        </w:rPr>
        <w:t>ամիսների</w:t>
      </w:r>
      <w:r w:rsidR="00FC3234" w:rsidRPr="00CB15FF">
        <w:rPr>
          <w:rFonts w:ascii="GHEA Grapalat" w:eastAsia="GHEA Grapalat" w:hAnsi="GHEA Grapalat" w:cs="GHEA Grapalat"/>
          <w:bCs/>
          <w:sz w:val="22"/>
          <w:szCs w:val="22"/>
        </w:rPr>
        <w:t>ն</w:t>
      </w:r>
      <w:r w:rsidR="00FC3234" w:rsidRPr="00CB15FF">
        <w:rPr>
          <w:rFonts w:ascii="GHEA Grapalat" w:eastAsia="GHEA Grapalat" w:hAnsi="GHEA Grapalat" w:cs="GHEA Grapalat"/>
          <w:b/>
          <w:sz w:val="22"/>
          <w:szCs w:val="22"/>
        </w:rPr>
        <w:t xml:space="preserve"> </w:t>
      </w:r>
      <w:r w:rsidR="00FC3234" w:rsidRPr="00CB15FF">
        <w:rPr>
          <w:rFonts w:ascii="GHEA Grapalat" w:eastAsia="GHEA Grapalat" w:hAnsi="GHEA Grapalat" w:cs="GHEA Grapalat"/>
          <w:bCs/>
          <w:sz w:val="22"/>
          <w:szCs w:val="22"/>
        </w:rPr>
        <w:t>արդյունաբերության համախառն թողարկումն աճեց</w:t>
      </w:r>
      <w:r w:rsidR="004320B5" w:rsidRPr="00CB15FF">
        <w:rPr>
          <w:rFonts w:ascii="GHEA Grapalat" w:eastAsia="GHEA Grapalat" w:hAnsi="GHEA Grapalat" w:cs="GHEA Grapalat"/>
          <w:bCs/>
          <w:sz w:val="22"/>
          <w:szCs w:val="22"/>
        </w:rPr>
        <w:t xml:space="preserve"> 10</w:t>
      </w:r>
      <w:r w:rsidR="00FC3234" w:rsidRPr="00CB15FF">
        <w:rPr>
          <w:rFonts w:ascii="GHEA Grapalat" w:eastAsia="GHEA Grapalat" w:hAnsi="GHEA Grapalat" w:cs="GHEA Grapalat"/>
          <w:bCs/>
          <w:sz w:val="22"/>
          <w:szCs w:val="22"/>
        </w:rPr>
        <w:t xml:space="preserve">%-ով: Արդյունաբերության աճը հիմնականում </w:t>
      </w:r>
      <w:r w:rsidR="00FC3234" w:rsidRPr="00CB15FF">
        <w:rPr>
          <w:rFonts w:ascii="GHEA Grapalat" w:eastAsia="GHEA Grapalat" w:hAnsi="GHEA Grapalat" w:cs="Arial"/>
          <w:bCs/>
          <w:sz w:val="22"/>
          <w:szCs w:val="22"/>
        </w:rPr>
        <w:t xml:space="preserve">պայմանավորված է եղել մշակող արդյունաբերության </w:t>
      </w:r>
      <w:r w:rsidR="00FC3234" w:rsidRPr="00CB15FF">
        <w:rPr>
          <w:rFonts w:ascii="GHEA Grapalat" w:eastAsia="GHEA Grapalat" w:hAnsi="GHEA Grapalat" w:cs="Arial"/>
          <w:sz w:val="22"/>
          <w:szCs w:val="22"/>
        </w:rPr>
        <w:t>աճով (նպաստումը՝ 11.3 տոկոսային կետ):</w:t>
      </w:r>
      <w:r w:rsidR="00FC3234" w:rsidRPr="00CB15FF">
        <w:rPr>
          <w:rFonts w:ascii="GHEA Grapalat" w:hAnsi="GHEA Grapalat"/>
        </w:rPr>
        <w:t xml:space="preserve"> </w:t>
      </w:r>
      <w:r w:rsidR="00FC3234" w:rsidRPr="00CB15FF">
        <w:rPr>
          <w:rFonts w:ascii="GHEA Grapalat" w:eastAsia="GHEA Grapalat" w:hAnsi="GHEA Grapalat" w:cs="GHEA Grapalat"/>
          <w:sz w:val="22"/>
          <w:szCs w:val="22"/>
        </w:rPr>
        <w:t>Միաժամանակ հանքագործական արդյունաբերություն և բացահանքերի շահագործում</w:t>
      </w:r>
      <w:r w:rsidR="00FC3234" w:rsidRPr="00CB15FF" w:rsidDel="009C46B7">
        <w:rPr>
          <w:rFonts w:ascii="GHEA Grapalat" w:eastAsia="GHEA Grapalat" w:hAnsi="GHEA Grapalat" w:cs="GHEA Grapalat"/>
          <w:sz w:val="22"/>
          <w:szCs w:val="22"/>
        </w:rPr>
        <w:t xml:space="preserve"> </w:t>
      </w:r>
      <w:r w:rsidR="00FC3234" w:rsidRPr="00CB15FF">
        <w:rPr>
          <w:rFonts w:ascii="GHEA Grapalat" w:eastAsia="GHEA Grapalat" w:hAnsi="GHEA Grapalat" w:cs="GHEA Grapalat"/>
          <w:sz w:val="22"/>
          <w:szCs w:val="22"/>
        </w:rPr>
        <w:t>ենթաճյուղի նվազումը բացասաբար է ազդել (1.7 տոկոսային կետով) արդյունաբերության աճի</w:t>
      </w:r>
      <w:r w:rsidR="004320B5" w:rsidRPr="00CB15FF">
        <w:rPr>
          <w:rFonts w:ascii="GHEA Grapalat" w:eastAsia="GHEA Grapalat" w:hAnsi="GHEA Grapalat" w:cs="GHEA Grapalat"/>
          <w:sz w:val="22"/>
          <w:szCs w:val="22"/>
        </w:rPr>
        <w:t xml:space="preserve"> վրա</w:t>
      </w:r>
      <w:r w:rsidR="00FC3234" w:rsidRPr="00CB15FF">
        <w:rPr>
          <w:rFonts w:ascii="GHEA Grapalat" w:eastAsia="GHEA Grapalat" w:hAnsi="GHEA Grapalat" w:cs="GHEA Grapalat"/>
          <w:sz w:val="22"/>
          <w:szCs w:val="22"/>
        </w:rPr>
        <w:t xml:space="preserve">: </w:t>
      </w:r>
    </w:p>
    <w:p w:rsidR="00934257" w:rsidRPr="00CB15FF" w:rsidRDefault="00FC3234" w:rsidP="00FC3234">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 xml:space="preserve">Մշակող արդյունաբերության աճին նպաստել </w:t>
      </w:r>
      <w:r w:rsidR="004320B5" w:rsidRPr="00CB15FF">
        <w:rPr>
          <w:rFonts w:ascii="GHEA Grapalat" w:eastAsia="GHEA Grapalat" w:hAnsi="GHEA Grapalat" w:cs="GHEA Grapalat"/>
          <w:sz w:val="22"/>
          <w:szCs w:val="22"/>
        </w:rPr>
        <w:t>է</w:t>
      </w:r>
      <w:r w:rsidRPr="00CB15FF">
        <w:rPr>
          <w:rFonts w:ascii="GHEA Grapalat" w:eastAsia="GHEA Grapalat" w:hAnsi="GHEA Grapalat" w:cs="GHEA Grapalat"/>
          <w:sz w:val="22"/>
          <w:szCs w:val="22"/>
        </w:rPr>
        <w:t xml:space="preserve"> ինչպես ներքին, այնպես էլ արտաքին պահանջարկի աճը: ՌԴ ներմուծման շուկաների սահմանափակումները և ՌԴ-ում</w:t>
      </w:r>
      <w:r w:rsidR="004320B5"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ՀՀ ապրանքների գնային մրցունակության բարձրացումը նպաստել են ՀՀ-ից դեպի ՌԴ մշակող արդյունաբերության արտահանման ավելացմանը, բացի այդ</w:t>
      </w:r>
      <w:r w:rsidR="004320B5"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w:t>
      </w:r>
      <w:r w:rsidRPr="00CB15FF">
        <w:rPr>
          <w:rFonts w:ascii="GHEA Grapalat" w:eastAsia="GHEA Grapalat" w:hAnsi="GHEA Grapalat" w:cs="Sylfaen"/>
          <w:sz w:val="22"/>
          <w:szCs w:val="22"/>
        </w:rPr>
        <w:t xml:space="preserve">քային արտադրատեսակների </w:t>
      </w:r>
      <w:r w:rsidRPr="00CB15FF">
        <w:rPr>
          <w:rFonts w:ascii="GHEA Grapalat" w:eastAsia="GHEA Grapalat" w:hAnsi="GHEA Grapalat" w:cs="GHEA Grapalat"/>
          <w:sz w:val="22"/>
          <w:szCs w:val="22"/>
        </w:rPr>
        <w:t>(նպաստումը` 7.5 տոկոսային կետ), սննդամթերքի (նպաստումը` 4.5 տոկոսային կետ), ինչպես նաև հիմնային մետաղների (նպաստումը` 3.4 տոկոսային կետ) արտադրության ծավալների աճով:</w:t>
      </w:r>
    </w:p>
    <w:p w:rsidR="00747183" w:rsidRPr="00CB15FF" w:rsidRDefault="00747183" w:rsidP="00FC3234">
      <w:pPr>
        <w:spacing w:line="336" w:lineRule="auto"/>
        <w:ind w:firstLine="567"/>
        <w:jc w:val="both"/>
        <w:rPr>
          <w:rFonts w:ascii="GHEA Grapalat" w:hAnsi="GHEA Grapalat" w:cs="GHEA Grapalat"/>
          <w:sz w:val="22"/>
          <w:szCs w:val="22"/>
          <w:lang w:val="hy-AM"/>
        </w:rPr>
      </w:pPr>
      <w:r w:rsidRPr="00CB15FF">
        <w:rPr>
          <w:rFonts w:ascii="GHEA Grapalat" w:hAnsi="GHEA Grapalat" w:cs="GHEA Grapalat"/>
          <w:b/>
          <w:i/>
          <w:sz w:val="22"/>
          <w:szCs w:val="22"/>
          <w:lang w:val="hy-AM"/>
        </w:rPr>
        <w:t>Գյուղատնտեսություն։</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GHEA Grapalat"/>
          <w:bCs/>
          <w:sz w:val="22"/>
          <w:szCs w:val="22"/>
          <w:lang w:val="hy-AM"/>
        </w:rPr>
        <w:t>Գյուղատնտեսության, անտառային տնտեսության և ձկնորսության համախառն արտադրանքն աճել է 0.5%-ով՝</w:t>
      </w:r>
      <w:r w:rsidR="00FC3234" w:rsidRPr="000F6B0F">
        <w:rPr>
          <w:rFonts w:ascii="GHEA Grapalat" w:eastAsia="GHEA Grapalat" w:hAnsi="GHEA Grapalat" w:cs="GHEA Grapalat"/>
          <w:sz w:val="22"/>
          <w:szCs w:val="22"/>
          <w:lang w:val="hy-AM"/>
        </w:rPr>
        <w:t xml:space="preserve"> հիմնականում պայմանավորված ձկնորսության և բուսաբուծության </w:t>
      </w:r>
      <w:r w:rsidR="00696A5D" w:rsidRPr="000F6B0F">
        <w:rPr>
          <w:rFonts w:ascii="GHEA Grapalat" w:eastAsia="GHEA Grapalat" w:hAnsi="GHEA Grapalat" w:cs="GHEA Grapalat"/>
          <w:sz w:val="22"/>
          <w:szCs w:val="22"/>
          <w:lang w:val="hy-AM"/>
        </w:rPr>
        <w:t>աճ</w:t>
      </w:r>
      <w:r w:rsidR="00FC3234" w:rsidRPr="000F6B0F">
        <w:rPr>
          <w:rFonts w:ascii="GHEA Grapalat" w:eastAsia="GHEA Grapalat" w:hAnsi="GHEA Grapalat" w:cs="GHEA Grapalat"/>
          <w:sz w:val="22"/>
          <w:szCs w:val="22"/>
          <w:lang w:val="hy-AM"/>
        </w:rPr>
        <w:t>ով (</w:t>
      </w:r>
      <w:r w:rsidR="00FC3234" w:rsidRPr="000F6B0F">
        <w:rPr>
          <w:rFonts w:ascii="GHEA Grapalat" w:eastAsia="GHEA Grapalat" w:hAnsi="GHEA Grapalat" w:cs="Sylfaen"/>
          <w:sz w:val="22"/>
          <w:szCs w:val="22"/>
          <w:lang w:val="hy-AM"/>
        </w:rPr>
        <w:t>նպաստումները</w:t>
      </w:r>
      <w:r w:rsidR="00FC3234" w:rsidRPr="000F6B0F">
        <w:rPr>
          <w:rFonts w:ascii="GHEA Grapalat" w:eastAsia="GHEA Grapalat" w:hAnsi="GHEA Grapalat" w:cs="GHEA Grapalat"/>
          <w:sz w:val="22"/>
          <w:szCs w:val="22"/>
          <w:lang w:val="hy-AM"/>
        </w:rPr>
        <w:t xml:space="preserve">` համպատասխանաբար 1.1 և 1.0 </w:t>
      </w:r>
      <w:r w:rsidR="00FC3234" w:rsidRPr="000F6B0F">
        <w:rPr>
          <w:rFonts w:ascii="GHEA Grapalat" w:eastAsia="GHEA Grapalat" w:hAnsi="GHEA Grapalat" w:cs="Sylfaen"/>
          <w:sz w:val="22"/>
          <w:szCs w:val="22"/>
          <w:lang w:val="hy-AM"/>
        </w:rPr>
        <w:t>տոկոսային</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 xml:space="preserve">կետեր)։ </w:t>
      </w:r>
      <w:r w:rsidR="00FC3234" w:rsidRPr="000F6B0F">
        <w:rPr>
          <w:rFonts w:ascii="GHEA Grapalat" w:eastAsia="GHEA Grapalat" w:hAnsi="GHEA Grapalat" w:cs="GHEA Grapalat"/>
          <w:sz w:val="22"/>
          <w:szCs w:val="22"/>
          <w:lang w:val="hy-AM"/>
        </w:rPr>
        <w:t>Բուսաբուծության աճն իր հերթին պայմանավորված է եղել հացահատիկի և հատիկաընդեղենի համախառն բերքի աճով: Միաժամանակ ա</w:t>
      </w:r>
      <w:r w:rsidR="00FC3234" w:rsidRPr="000F6B0F">
        <w:rPr>
          <w:rFonts w:ascii="GHEA Grapalat" w:eastAsia="GHEA Grapalat" w:hAnsi="GHEA Grapalat" w:cs="Sylfaen"/>
          <w:sz w:val="22"/>
          <w:szCs w:val="22"/>
          <w:lang w:val="hy-AM"/>
        </w:rPr>
        <w:t xml:space="preserve">նասնաբուծության նվազումը 1.7 տոկոսային կետով հակազդել է ճյուղի աճին։ </w:t>
      </w:r>
      <w:r w:rsidR="00FC3234" w:rsidRPr="000F6B0F">
        <w:rPr>
          <w:rFonts w:ascii="GHEA Grapalat" w:eastAsia="GHEA Grapalat" w:hAnsi="GHEA Grapalat" w:cs="GHEA Grapalat"/>
          <w:sz w:val="22"/>
          <w:szCs w:val="22"/>
          <w:lang w:val="hy-AM"/>
        </w:rPr>
        <w:t>Անասնաբուծության նվազումն իր հերթին պայմանավորված է եղել կաթի արտադրության և սպանդի համար նախատեսված գյուղատնտեսական կենդանի</w:t>
      </w:r>
      <w:r w:rsidR="00696A5D" w:rsidRPr="000F6B0F">
        <w:rPr>
          <w:rFonts w:ascii="GHEA Grapalat" w:eastAsia="GHEA Grapalat" w:hAnsi="GHEA Grapalat" w:cs="GHEA Grapalat"/>
          <w:sz w:val="22"/>
          <w:szCs w:val="22"/>
          <w:lang w:val="hy-AM"/>
        </w:rPr>
        <w:t>ների</w:t>
      </w:r>
      <w:r w:rsidR="00FC3234" w:rsidRPr="000F6B0F">
        <w:rPr>
          <w:rFonts w:ascii="GHEA Grapalat" w:eastAsia="GHEA Grapalat" w:hAnsi="GHEA Grapalat" w:cs="GHEA Grapalat"/>
          <w:sz w:val="22"/>
          <w:szCs w:val="22"/>
          <w:lang w:val="hy-AM"/>
        </w:rPr>
        <w:t xml:space="preserve"> և թռչնի</w:t>
      </w:r>
      <w:r w:rsidR="00FC3234" w:rsidRPr="000F6B0F" w:rsidDel="004E0F55">
        <w:rPr>
          <w:rFonts w:ascii="GHEA Grapalat" w:eastAsia="GHEA Grapalat" w:hAnsi="GHEA Grapalat" w:cs="GHEA Grapalat"/>
          <w:sz w:val="22"/>
          <w:szCs w:val="22"/>
          <w:lang w:val="hy-AM"/>
        </w:rPr>
        <w:t xml:space="preserve"> </w:t>
      </w:r>
      <w:r w:rsidR="00FC3234" w:rsidRPr="000F6B0F">
        <w:rPr>
          <w:rFonts w:ascii="GHEA Grapalat" w:eastAsia="GHEA Grapalat" w:hAnsi="GHEA Grapalat" w:cs="GHEA Grapalat"/>
          <w:sz w:val="22"/>
          <w:szCs w:val="22"/>
          <w:lang w:val="hy-AM"/>
        </w:rPr>
        <w:t>նվազմամբ, ինչի պատճառ է հանդիսացել տնային տնտեսությունների անասնագլխաքանակի նվազումը:</w:t>
      </w:r>
    </w:p>
    <w:p w:rsidR="00FC3234" w:rsidRPr="000F6B0F" w:rsidRDefault="00747183" w:rsidP="00FC3234">
      <w:pPr>
        <w:spacing w:line="336" w:lineRule="auto"/>
        <w:ind w:firstLine="567"/>
        <w:jc w:val="both"/>
        <w:rPr>
          <w:rFonts w:ascii="GHEA Grapalat" w:eastAsia="GHEA Grapalat" w:hAnsi="GHEA Grapalat" w:cs="Sylfaen"/>
          <w:sz w:val="22"/>
          <w:szCs w:val="22"/>
          <w:lang w:val="hy-AM"/>
        </w:rPr>
      </w:pPr>
      <w:r w:rsidRPr="00CB15FF">
        <w:rPr>
          <w:rFonts w:ascii="GHEA Grapalat" w:hAnsi="GHEA Grapalat" w:cs="GHEA Grapalat"/>
          <w:b/>
          <w:i/>
          <w:sz w:val="22"/>
          <w:szCs w:val="22"/>
          <w:lang w:val="hy-AM"/>
        </w:rPr>
        <w:t>Շինարարություն։</w:t>
      </w:r>
      <w:r w:rsidRPr="00CB15FF">
        <w:rPr>
          <w:rFonts w:ascii="GHEA Grapalat" w:hAnsi="GHEA Grapalat" w:cs="GHEA Grapalat"/>
          <w:sz w:val="22"/>
          <w:szCs w:val="22"/>
          <w:lang w:val="hy-AM"/>
        </w:rPr>
        <w:t xml:space="preserve"> </w:t>
      </w:r>
      <w:r w:rsidR="00FC3234" w:rsidRPr="000F6B0F">
        <w:rPr>
          <w:rFonts w:ascii="GHEA Grapalat" w:eastAsia="GHEA Grapalat" w:hAnsi="GHEA Grapalat" w:cs="GHEA Grapalat"/>
          <w:sz w:val="22"/>
          <w:szCs w:val="22"/>
          <w:lang w:val="hy-AM"/>
        </w:rPr>
        <w:t>Շինարարության ճյուղում գրանցված 14.3% աճը պայմանավորված է եղել հիմնականում կազմակերպությունների միջոցներով</w:t>
      </w:r>
      <w:r w:rsidR="00FC3234" w:rsidRPr="000F6B0F" w:rsidDel="000521F3">
        <w:rPr>
          <w:rFonts w:ascii="GHEA Grapalat" w:eastAsia="GHEA Grapalat" w:hAnsi="GHEA Grapalat" w:cs="GHEA Grapalat"/>
          <w:sz w:val="22"/>
          <w:szCs w:val="22"/>
          <w:lang w:val="hy-AM"/>
        </w:rPr>
        <w:t xml:space="preserve"> </w:t>
      </w:r>
      <w:r w:rsidR="00FC3234" w:rsidRPr="000F6B0F">
        <w:rPr>
          <w:rFonts w:ascii="GHEA Grapalat" w:eastAsia="GHEA Grapalat" w:hAnsi="GHEA Grapalat" w:cs="GHEA Grapalat"/>
          <w:sz w:val="22"/>
          <w:szCs w:val="22"/>
          <w:lang w:val="hy-AM"/>
        </w:rPr>
        <w:t xml:space="preserve">իրականացված շինարարության ծավալների աճով (նպաստումը` 13.5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4320B5" w:rsidRPr="000F6B0F">
        <w:rPr>
          <w:rFonts w:ascii="GHEA Grapalat" w:eastAsia="GHEA Grapalat" w:hAnsi="GHEA Grapalat" w:cs="GHEA Grapalat"/>
          <w:sz w:val="22"/>
          <w:szCs w:val="22"/>
          <w:lang w:val="hy-AM"/>
        </w:rPr>
        <w:t>հիպոտեկ</w:t>
      </w:r>
      <w:r w:rsidR="00FC3234" w:rsidRPr="000F6B0F">
        <w:rPr>
          <w:rFonts w:ascii="GHEA Grapalat" w:eastAsia="GHEA Grapalat" w:hAnsi="GHEA Grapalat" w:cs="GHEA Grapalat"/>
          <w:sz w:val="22"/>
          <w:szCs w:val="22"/>
          <w:lang w:val="hy-AM"/>
        </w:rPr>
        <w:t>ային վարկերի տոկոսավճարների եկամտահարկից վերադարձման պետական աջակցության ծրագիրը</w:t>
      </w:r>
      <w:r w:rsidR="00FC3234" w:rsidRPr="000F6B0F">
        <w:rPr>
          <w:rFonts w:ascii="GHEA Grapalat" w:eastAsia="GHEA Grapalat" w:hAnsi="GHEA Grapalat" w:cs="Sylfaen"/>
          <w:sz w:val="22"/>
          <w:szCs w:val="22"/>
          <w:lang w:val="hy-AM"/>
        </w:rPr>
        <w:t>, ինչպես նաև օտարերկրյա քաղաքացիների մեծ ներհոսքի պայմաններում բնակարանային շուկայում առաջացած պահանջարկը)։ Շինարարության աճին դրական նպաստում է ունեցել պետական ներդրումների, մասնավորապես՝ համայնքների (1</w:t>
      </w:r>
      <w:r w:rsidR="00FC3234" w:rsidRPr="000F6B0F">
        <w:rPr>
          <w:rFonts w:ascii="Cambria Math" w:eastAsia="GHEA Grapalat" w:hAnsi="Cambria Math" w:cs="Cambria Math"/>
          <w:sz w:val="22"/>
          <w:szCs w:val="22"/>
          <w:lang w:val="hy-AM"/>
        </w:rPr>
        <w:t>․</w:t>
      </w:r>
      <w:r w:rsidR="00FC3234" w:rsidRPr="000F6B0F">
        <w:rPr>
          <w:rFonts w:ascii="GHEA Grapalat" w:eastAsia="GHEA Grapalat" w:hAnsi="GHEA Grapalat" w:cs="Sylfaen"/>
          <w:sz w:val="22"/>
          <w:szCs w:val="22"/>
          <w:lang w:val="hy-AM"/>
        </w:rPr>
        <w:t>5 տոկոսային</w:t>
      </w:r>
      <w:bookmarkStart w:id="20" w:name="_Hlk110694542"/>
      <w:r w:rsidR="00FC3234" w:rsidRPr="000F6B0F">
        <w:rPr>
          <w:rFonts w:ascii="GHEA Grapalat" w:eastAsia="GHEA Grapalat" w:hAnsi="GHEA Grapalat" w:cs="Sylfaen"/>
          <w:sz w:val="22"/>
          <w:szCs w:val="22"/>
          <w:lang w:val="hy-AM"/>
        </w:rPr>
        <w:t xml:space="preserve"> կետ</w:t>
      </w:r>
      <w:bookmarkEnd w:id="20"/>
      <w:r w:rsidR="00FC3234" w:rsidRPr="000F6B0F">
        <w:rPr>
          <w:rFonts w:ascii="GHEA Grapalat" w:eastAsia="GHEA Grapalat" w:hAnsi="GHEA Grapalat" w:cs="Sylfaen"/>
          <w:sz w:val="22"/>
          <w:szCs w:val="22"/>
          <w:lang w:val="hy-AM"/>
        </w:rPr>
        <w:t xml:space="preserve">) միջոցներով ֆինանսավորվող շինարարության աճը։ Մինչդեռ բնակչության միջոցներով ֆինանսավորվող շինարարության նվազումը բացասաբար է </w:t>
      </w:r>
      <w:r w:rsidR="00FC3234" w:rsidRPr="000F6B0F">
        <w:rPr>
          <w:rFonts w:ascii="GHEA Grapalat" w:eastAsia="GHEA Grapalat" w:hAnsi="GHEA Grapalat" w:cs="Sylfaen"/>
          <w:sz w:val="22"/>
          <w:szCs w:val="22"/>
          <w:lang w:val="hy-AM"/>
        </w:rPr>
        <w:lastRenderedPageBreak/>
        <w:t>ազդել ճյուղի աճի</w:t>
      </w:r>
      <w:r w:rsidR="002E04E5" w:rsidRPr="000F6B0F">
        <w:rPr>
          <w:rFonts w:ascii="GHEA Grapalat" w:eastAsia="GHEA Grapalat" w:hAnsi="GHEA Grapalat" w:cs="Sylfaen"/>
          <w:sz w:val="22"/>
          <w:szCs w:val="22"/>
          <w:lang w:val="hy-AM"/>
        </w:rPr>
        <w:t xml:space="preserve"> վրա</w:t>
      </w:r>
      <w:r w:rsidR="00FC3234" w:rsidRPr="000F6B0F">
        <w:rPr>
          <w:rFonts w:ascii="GHEA Grapalat" w:eastAsia="GHEA Grapalat" w:hAnsi="GHEA Grapalat" w:cs="Sylfaen"/>
          <w:sz w:val="22"/>
          <w:szCs w:val="22"/>
          <w:lang w:val="hy-AM"/>
        </w:rPr>
        <w:t xml:space="preserve"> (0.6 տոկոսային կետեր): Ընդ որում՝ պետական բյուջեի միջոցներով ֆինանսավորվող շինարարության նվազումը պայմանավորված է </w:t>
      </w:r>
      <w:r w:rsidR="00FC3234" w:rsidRPr="000F6B0F">
        <w:rPr>
          <w:rFonts w:ascii="GHEA Grapalat" w:eastAsia="GHEA Grapalat" w:hAnsi="GHEA Grapalat" w:cs="GHEA Grapalat"/>
          <w:sz w:val="22"/>
          <w:szCs w:val="22"/>
          <w:lang w:val="hy-AM"/>
        </w:rPr>
        <w:t xml:space="preserve">եղել միջազգային վարկերով </w:t>
      </w:r>
      <w:r w:rsidR="00FC3234" w:rsidRPr="000F6B0F">
        <w:rPr>
          <w:rFonts w:ascii="GHEA Grapalat" w:eastAsia="GHEA Grapalat" w:hAnsi="GHEA Grapalat" w:cs="Sylfaen"/>
          <w:sz w:val="22"/>
          <w:szCs w:val="22"/>
          <w:lang w:val="hy-AM"/>
        </w:rPr>
        <w:t>ֆինանսավորվող շինարարության նվազմամբ։</w:t>
      </w:r>
    </w:p>
    <w:p w:rsidR="00747183" w:rsidRPr="00CB15FF" w:rsidRDefault="00FC3234" w:rsidP="00FC3234">
      <w:pPr>
        <w:spacing w:line="360" w:lineRule="auto"/>
        <w:ind w:firstLine="567"/>
        <w:jc w:val="both"/>
        <w:rPr>
          <w:rFonts w:ascii="GHEA Grapalat" w:hAnsi="GHEA Grapalat" w:cs="GHEA Grapalat"/>
          <w:sz w:val="22"/>
          <w:szCs w:val="22"/>
          <w:lang w:val="hy-AM"/>
        </w:rPr>
      </w:pPr>
      <w:r w:rsidRPr="000F6B0F">
        <w:rPr>
          <w:rFonts w:ascii="GHEA Grapalat" w:eastAsia="GHEA Grapalat" w:hAnsi="GHEA Grapalat" w:cs="GHEA Grapalat"/>
          <w:sz w:val="22"/>
          <w:szCs w:val="22"/>
          <w:lang w:val="hy-AM"/>
        </w:rPr>
        <w:t xml:space="preserve">Ըստ տնտեսական գործունեության տեսակների՝ շինարարության աճին հիմնականում նպաստել </w:t>
      </w:r>
      <w:r w:rsidR="002E04E5" w:rsidRPr="000F6B0F">
        <w:rPr>
          <w:rFonts w:ascii="GHEA Grapalat" w:eastAsia="GHEA Grapalat" w:hAnsi="GHEA Grapalat" w:cs="GHEA Grapalat"/>
          <w:sz w:val="22"/>
          <w:szCs w:val="22"/>
          <w:lang w:val="hy-AM"/>
        </w:rPr>
        <w:t>է</w:t>
      </w:r>
      <w:r w:rsidRPr="000F6B0F">
        <w:rPr>
          <w:rFonts w:ascii="GHEA Grapalat" w:eastAsia="GHEA Grapalat" w:hAnsi="GHEA Grapalat" w:cs="GHEA Grapalat"/>
          <w:sz w:val="22"/>
          <w:szCs w:val="22"/>
          <w:lang w:val="hy-AM"/>
        </w:rPr>
        <w:t xml:space="preserve"> անշարժ գույքի հետ կապված գործունեության (հիմնականում՝ բնակարանաշինությ</w:t>
      </w:r>
      <w:r w:rsidR="002E04E5" w:rsidRPr="000F6B0F">
        <w:rPr>
          <w:rFonts w:ascii="GHEA Grapalat" w:eastAsia="GHEA Grapalat" w:hAnsi="GHEA Grapalat" w:cs="GHEA Grapalat"/>
          <w:sz w:val="22"/>
          <w:szCs w:val="22"/>
          <w:lang w:val="hy-AM"/>
        </w:rPr>
        <w:t>ա</w:t>
      </w:r>
      <w:r w:rsidRPr="000F6B0F">
        <w:rPr>
          <w:rFonts w:ascii="GHEA Grapalat" w:eastAsia="GHEA Grapalat" w:hAnsi="GHEA Grapalat" w:cs="GHEA Grapalat"/>
          <w:sz w:val="22"/>
          <w:szCs w:val="22"/>
          <w:lang w:val="hy-AM"/>
        </w:rPr>
        <w:t>ն) ոլորտում շինարարության ծավալների աճը: Տրանսպորտի (հիմնականում՝ ճանապարհաշինությ</w:t>
      </w:r>
      <w:r w:rsidR="002E04E5" w:rsidRPr="000F6B0F">
        <w:rPr>
          <w:rFonts w:ascii="GHEA Grapalat" w:eastAsia="GHEA Grapalat" w:hAnsi="GHEA Grapalat" w:cs="GHEA Grapalat"/>
          <w:sz w:val="22"/>
          <w:szCs w:val="22"/>
          <w:lang w:val="hy-AM"/>
        </w:rPr>
        <w:t>ա</w:t>
      </w:r>
      <w:r w:rsidRPr="000F6B0F">
        <w:rPr>
          <w:rFonts w:ascii="GHEA Grapalat" w:eastAsia="GHEA Grapalat" w:hAnsi="GHEA Grapalat" w:cs="GHEA Grapalat"/>
          <w:sz w:val="22"/>
          <w:szCs w:val="22"/>
          <w:lang w:val="hy-AM"/>
        </w:rPr>
        <w:t>ն), կրթության, ջրամատակարարմ</w:t>
      </w:r>
      <w:r w:rsidR="00E16FDE" w:rsidRPr="000F6B0F">
        <w:rPr>
          <w:rFonts w:ascii="GHEA Grapalat" w:eastAsia="GHEA Grapalat" w:hAnsi="GHEA Grapalat" w:cs="GHEA Grapalat"/>
          <w:sz w:val="22"/>
          <w:szCs w:val="22"/>
          <w:lang w:val="hy-AM"/>
        </w:rPr>
        <w:t>ան</w:t>
      </w:r>
      <w:r w:rsidRPr="000F6B0F">
        <w:rPr>
          <w:rFonts w:ascii="GHEA Grapalat" w:eastAsia="GHEA Grapalat" w:hAnsi="GHEA Grapalat" w:cs="GHEA Grapalat"/>
          <w:sz w:val="22"/>
          <w:szCs w:val="22"/>
          <w:lang w:val="hy-AM"/>
        </w:rPr>
        <w:t>, կոյուղ</w:t>
      </w:r>
      <w:r w:rsidR="00E16FDE" w:rsidRPr="000F6B0F">
        <w:rPr>
          <w:rFonts w:ascii="GHEA Grapalat" w:eastAsia="GHEA Grapalat" w:hAnsi="GHEA Grapalat" w:cs="GHEA Grapalat"/>
          <w:sz w:val="22"/>
          <w:szCs w:val="22"/>
          <w:lang w:val="hy-AM"/>
        </w:rPr>
        <w:t>ու</w:t>
      </w:r>
      <w:r w:rsidRPr="000F6B0F">
        <w:rPr>
          <w:rFonts w:ascii="GHEA Grapalat" w:eastAsia="GHEA Grapalat" w:hAnsi="GHEA Grapalat" w:cs="GHEA Grapalat"/>
          <w:sz w:val="22"/>
          <w:szCs w:val="22"/>
          <w:lang w:val="hy-AM"/>
        </w:rPr>
        <w:t xml:space="preserve">, թափոնների </w:t>
      </w:r>
      <w:r w:rsidR="00E16FDE" w:rsidRPr="000F6B0F">
        <w:rPr>
          <w:rFonts w:ascii="GHEA Grapalat" w:eastAsia="GHEA Grapalat" w:hAnsi="GHEA Grapalat" w:cs="GHEA Grapalat"/>
          <w:sz w:val="22"/>
          <w:szCs w:val="22"/>
          <w:lang w:val="hy-AM"/>
        </w:rPr>
        <w:t>կառավարման</w:t>
      </w:r>
      <w:r w:rsidRPr="000F6B0F">
        <w:rPr>
          <w:rFonts w:ascii="GHEA Grapalat" w:eastAsia="GHEA Grapalat" w:hAnsi="GHEA Grapalat" w:cs="GHEA Grapalat"/>
          <w:sz w:val="22"/>
          <w:szCs w:val="22"/>
          <w:lang w:val="hy-AM"/>
        </w:rPr>
        <w:t xml:space="preserve"> և վերամշակ</w:t>
      </w:r>
      <w:r w:rsidR="00E16FDE" w:rsidRPr="000F6B0F">
        <w:rPr>
          <w:rFonts w:ascii="GHEA Grapalat" w:eastAsia="GHEA Grapalat" w:hAnsi="GHEA Grapalat" w:cs="GHEA Grapalat"/>
          <w:sz w:val="22"/>
          <w:szCs w:val="22"/>
          <w:lang w:val="hy-AM"/>
        </w:rPr>
        <w:t>ման</w:t>
      </w:r>
      <w:r w:rsidRPr="000F6B0F">
        <w:rPr>
          <w:rFonts w:ascii="GHEA Grapalat" w:eastAsia="GHEA Grapalat" w:hAnsi="GHEA Grapalat" w:cs="GHEA Grapalat"/>
          <w:sz w:val="22"/>
          <w:szCs w:val="22"/>
          <w:lang w:val="hy-AM"/>
        </w:rPr>
        <w:t>, տեղեկատվությ</w:t>
      </w:r>
      <w:r w:rsidR="00E16FDE" w:rsidRPr="000F6B0F">
        <w:rPr>
          <w:rFonts w:ascii="GHEA Grapalat" w:eastAsia="GHEA Grapalat" w:hAnsi="GHEA Grapalat" w:cs="GHEA Grapalat"/>
          <w:sz w:val="22"/>
          <w:szCs w:val="22"/>
          <w:lang w:val="hy-AM"/>
        </w:rPr>
        <w:t>ա</w:t>
      </w:r>
      <w:r w:rsidRPr="000F6B0F">
        <w:rPr>
          <w:rFonts w:ascii="GHEA Grapalat" w:eastAsia="GHEA Grapalat" w:hAnsi="GHEA Grapalat" w:cs="GHEA Grapalat"/>
          <w:sz w:val="22"/>
          <w:szCs w:val="22"/>
          <w:lang w:val="hy-AM"/>
        </w:rPr>
        <w:t>ն և կապ</w:t>
      </w:r>
      <w:r w:rsidR="00E16FDE" w:rsidRPr="000F6B0F">
        <w:rPr>
          <w:rFonts w:ascii="GHEA Grapalat" w:eastAsia="GHEA Grapalat" w:hAnsi="GHEA Grapalat" w:cs="GHEA Grapalat"/>
          <w:sz w:val="22"/>
          <w:szCs w:val="22"/>
          <w:lang w:val="hy-AM"/>
        </w:rPr>
        <w:t>ի</w:t>
      </w:r>
      <w:r w:rsidRPr="000F6B0F">
        <w:rPr>
          <w:rFonts w:ascii="GHEA Grapalat" w:eastAsia="GHEA Grapalat" w:hAnsi="GHEA Grapalat" w:cs="GHEA Grapalat"/>
          <w:sz w:val="22"/>
          <w:szCs w:val="22"/>
          <w:lang w:val="hy-AM"/>
        </w:rPr>
        <w:t xml:space="preserve">, ինչպես նաև մշակող արդյունաբերության ոլորտներում իրականացված շինարարության ծավալների աճը նույնպես դրական նպաստում </w:t>
      </w:r>
      <w:r w:rsidR="002E04E5" w:rsidRPr="000F6B0F">
        <w:rPr>
          <w:rFonts w:ascii="GHEA Grapalat" w:eastAsia="GHEA Grapalat" w:hAnsi="GHEA Grapalat" w:cs="GHEA Grapalat"/>
          <w:sz w:val="22"/>
          <w:szCs w:val="22"/>
          <w:lang w:val="hy-AM"/>
        </w:rPr>
        <w:t>է</w:t>
      </w:r>
      <w:r w:rsidRPr="000F6B0F">
        <w:rPr>
          <w:rFonts w:ascii="GHEA Grapalat" w:eastAsia="GHEA Grapalat" w:hAnsi="GHEA Grapalat" w:cs="GHEA Grapalat"/>
          <w:sz w:val="22"/>
          <w:szCs w:val="22"/>
          <w:lang w:val="hy-AM"/>
        </w:rPr>
        <w:t xml:space="preserve"> ունեցել։ Մինչդեռ էլեկտրականության, գազի, գոլորշու և լավորակ օդի մատակարարում, ինչպես նաև կացության և հանրային սննդի կազմակերպում ենթաճյուղերում իրականացված շինարարության նվազումը էականորեն հակազդել </w:t>
      </w:r>
      <w:r w:rsidR="002E04E5" w:rsidRPr="000F6B0F">
        <w:rPr>
          <w:rFonts w:ascii="GHEA Grapalat" w:eastAsia="GHEA Grapalat" w:hAnsi="GHEA Grapalat" w:cs="GHEA Grapalat"/>
          <w:sz w:val="22"/>
          <w:szCs w:val="22"/>
          <w:lang w:val="hy-AM"/>
        </w:rPr>
        <w:t>է</w:t>
      </w:r>
      <w:r w:rsidRPr="000F6B0F">
        <w:rPr>
          <w:rFonts w:ascii="GHEA Grapalat" w:eastAsia="GHEA Grapalat" w:hAnsi="GHEA Grapalat" w:cs="GHEA Grapalat"/>
          <w:sz w:val="22"/>
          <w:szCs w:val="22"/>
          <w:lang w:val="hy-AM"/>
        </w:rPr>
        <w:t xml:space="preserve"> ընդհանուր շինարարության աճին։</w:t>
      </w:r>
    </w:p>
    <w:p w:rsidR="00FC3234" w:rsidRPr="000F6B0F" w:rsidRDefault="00747183" w:rsidP="00FC3234">
      <w:pPr>
        <w:spacing w:line="336" w:lineRule="auto"/>
        <w:ind w:firstLine="547"/>
        <w:jc w:val="both"/>
        <w:rPr>
          <w:rFonts w:ascii="GHEA Grapalat" w:eastAsia="GHEA Grapalat" w:hAnsi="GHEA Grapalat" w:cs="GHEA Grapalat"/>
          <w:sz w:val="22"/>
          <w:szCs w:val="22"/>
          <w:lang w:val="hy-AM"/>
        </w:rPr>
      </w:pPr>
      <w:r w:rsidRPr="00CB15FF">
        <w:rPr>
          <w:rFonts w:ascii="GHEA Grapalat" w:hAnsi="GHEA Grapalat" w:cs="GHEA Grapalat"/>
          <w:b/>
          <w:i/>
          <w:sz w:val="22"/>
          <w:szCs w:val="22"/>
          <w:lang w:val="hy-AM"/>
        </w:rPr>
        <w:t>Ծառայություններ և առևտուր։</w:t>
      </w:r>
      <w:r w:rsidRPr="00CB15FF">
        <w:rPr>
          <w:rFonts w:ascii="GHEA Grapalat" w:hAnsi="GHEA Grapalat" w:cs="GHEA Grapalat"/>
          <w:sz w:val="22"/>
          <w:szCs w:val="22"/>
          <w:lang w:val="hy-AM"/>
        </w:rPr>
        <w:t xml:space="preserve"> </w:t>
      </w:r>
      <w:r w:rsidR="00FC3234" w:rsidRPr="000F6B0F">
        <w:rPr>
          <w:rFonts w:ascii="GHEA Grapalat" w:eastAsia="GHEA Grapalat" w:hAnsi="GHEA Grapalat" w:cs="GHEA Grapalat"/>
          <w:bCs/>
          <w:sz w:val="22"/>
          <w:szCs w:val="22"/>
          <w:lang w:val="hy-AM"/>
        </w:rPr>
        <w:t>Ծառայություններն աճել են 27.1%-ով՝</w:t>
      </w:r>
      <w:r w:rsidR="00FC3234" w:rsidRPr="000F6B0F">
        <w:rPr>
          <w:rFonts w:ascii="GHEA Grapalat" w:eastAsia="GHEA Grapalat" w:hAnsi="GHEA Grapalat" w:cs="GHEA Grapalat"/>
          <w:b/>
          <w:sz w:val="22"/>
          <w:szCs w:val="22"/>
          <w:lang w:val="hy-AM"/>
        </w:rPr>
        <w:t xml:space="preserve"> </w:t>
      </w:r>
      <w:r w:rsidR="00FC3234" w:rsidRPr="000F6B0F">
        <w:rPr>
          <w:rFonts w:ascii="GHEA Grapalat" w:eastAsia="GHEA Grapalat" w:hAnsi="GHEA Grapalat" w:cs="GHEA Grapalat"/>
          <w:sz w:val="22"/>
          <w:szCs w:val="22"/>
          <w:lang w:val="hy-AM"/>
        </w:rPr>
        <w:t>հիմնականում պայմանավորված ֆինանսական և ապահովագրական գործունեությ</w:t>
      </w:r>
      <w:r w:rsidR="00E16FDE" w:rsidRPr="000F6B0F">
        <w:rPr>
          <w:rFonts w:ascii="GHEA Grapalat" w:eastAsia="GHEA Grapalat" w:hAnsi="GHEA Grapalat" w:cs="GHEA Grapalat"/>
          <w:sz w:val="22"/>
          <w:szCs w:val="22"/>
          <w:lang w:val="hy-AM"/>
        </w:rPr>
        <w:t>ա</w:t>
      </w:r>
      <w:r w:rsidR="00FC3234" w:rsidRPr="000F6B0F">
        <w:rPr>
          <w:rFonts w:ascii="GHEA Grapalat" w:eastAsia="GHEA Grapalat" w:hAnsi="GHEA Grapalat" w:cs="GHEA Grapalat"/>
          <w:sz w:val="22"/>
          <w:szCs w:val="22"/>
          <w:lang w:val="hy-AM"/>
        </w:rPr>
        <w:t>ն (</w:t>
      </w:r>
      <w:r w:rsidR="00FC3234" w:rsidRPr="000F6B0F">
        <w:rPr>
          <w:rFonts w:ascii="GHEA Grapalat" w:eastAsia="GHEA Grapalat" w:hAnsi="GHEA Grapalat" w:cs="Sylfaen"/>
          <w:sz w:val="22"/>
          <w:szCs w:val="22"/>
          <w:lang w:val="hy-AM"/>
        </w:rPr>
        <w:t>նպաստումը</w:t>
      </w:r>
      <w:r w:rsidR="00FC3234" w:rsidRPr="000F6B0F">
        <w:rPr>
          <w:rFonts w:ascii="GHEA Grapalat" w:eastAsia="GHEA Grapalat" w:hAnsi="GHEA Grapalat" w:cs="GHEA Grapalat"/>
          <w:sz w:val="22"/>
          <w:szCs w:val="22"/>
          <w:lang w:val="hy-AM"/>
        </w:rPr>
        <w:t xml:space="preserve">` 11.8 </w:t>
      </w:r>
      <w:r w:rsidR="00FC3234" w:rsidRPr="000F6B0F">
        <w:rPr>
          <w:rFonts w:ascii="GHEA Grapalat" w:eastAsia="GHEA Grapalat" w:hAnsi="GHEA Grapalat" w:cs="Sylfaen"/>
          <w:sz w:val="22"/>
          <w:szCs w:val="22"/>
          <w:lang w:val="hy-AM"/>
        </w:rPr>
        <w:t>տոկոսային</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 xml:space="preserve">կետ), </w:t>
      </w:r>
      <w:r w:rsidR="00FC3234" w:rsidRPr="000F6B0F">
        <w:rPr>
          <w:rFonts w:ascii="GHEA Grapalat" w:eastAsia="GHEA Grapalat" w:hAnsi="GHEA Grapalat" w:cs="GHEA Grapalat"/>
          <w:sz w:val="22"/>
          <w:szCs w:val="22"/>
          <w:lang w:val="hy-AM"/>
        </w:rPr>
        <w:t>տեղեկատվությ</w:t>
      </w:r>
      <w:r w:rsidR="001F6DEC" w:rsidRPr="000F6B0F">
        <w:rPr>
          <w:rFonts w:ascii="GHEA Grapalat" w:eastAsia="GHEA Grapalat" w:hAnsi="GHEA Grapalat" w:cs="GHEA Grapalat"/>
          <w:sz w:val="22"/>
          <w:szCs w:val="22"/>
          <w:lang w:val="hy-AM"/>
        </w:rPr>
        <w:t>ա</w:t>
      </w:r>
      <w:r w:rsidR="00FC3234" w:rsidRPr="000F6B0F">
        <w:rPr>
          <w:rFonts w:ascii="GHEA Grapalat" w:eastAsia="GHEA Grapalat" w:hAnsi="GHEA Grapalat" w:cs="GHEA Grapalat"/>
          <w:sz w:val="22"/>
          <w:szCs w:val="22"/>
          <w:lang w:val="hy-AM"/>
        </w:rPr>
        <w:t>ն և կապ</w:t>
      </w:r>
      <w:r w:rsidR="001F6DEC" w:rsidRPr="000F6B0F">
        <w:rPr>
          <w:rFonts w:ascii="GHEA Grapalat" w:eastAsia="GHEA Grapalat" w:hAnsi="GHEA Grapalat" w:cs="GHEA Grapalat"/>
          <w:sz w:val="22"/>
          <w:szCs w:val="22"/>
          <w:lang w:val="hy-AM"/>
        </w:rPr>
        <w:t>ի</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նպաստումը</w:t>
      </w:r>
      <w:r w:rsidR="00FC3234" w:rsidRPr="000F6B0F">
        <w:rPr>
          <w:rFonts w:ascii="GHEA Grapalat" w:eastAsia="GHEA Grapalat" w:hAnsi="GHEA Grapalat" w:cs="GHEA Grapalat"/>
          <w:sz w:val="22"/>
          <w:szCs w:val="22"/>
          <w:lang w:val="hy-AM"/>
        </w:rPr>
        <w:t xml:space="preserve">` 6.0 </w:t>
      </w:r>
      <w:r w:rsidR="00FC3234" w:rsidRPr="000F6B0F">
        <w:rPr>
          <w:rFonts w:ascii="GHEA Grapalat" w:eastAsia="GHEA Grapalat" w:hAnsi="GHEA Grapalat" w:cs="Sylfaen"/>
          <w:sz w:val="22"/>
          <w:szCs w:val="22"/>
          <w:lang w:val="hy-AM"/>
        </w:rPr>
        <w:t>տոկոսային</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կետ)</w:t>
      </w:r>
      <w:r w:rsidR="00FC3234" w:rsidRPr="000F6B0F">
        <w:rPr>
          <w:rFonts w:ascii="GHEA Grapalat" w:eastAsia="GHEA Grapalat" w:hAnsi="GHEA Grapalat" w:cs="GHEA Grapalat"/>
          <w:sz w:val="22"/>
          <w:szCs w:val="22"/>
          <w:lang w:val="hy-AM"/>
        </w:rPr>
        <w:t>, տրանսպորտ</w:t>
      </w:r>
      <w:r w:rsidR="001F6DEC" w:rsidRPr="000F6B0F">
        <w:rPr>
          <w:rFonts w:ascii="GHEA Grapalat" w:eastAsia="GHEA Grapalat" w:hAnsi="GHEA Grapalat" w:cs="GHEA Grapalat"/>
          <w:sz w:val="22"/>
          <w:szCs w:val="22"/>
          <w:lang w:val="hy-AM"/>
        </w:rPr>
        <w:t>ի</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նպաստումը</w:t>
      </w:r>
      <w:r w:rsidR="00FC3234" w:rsidRPr="000F6B0F">
        <w:rPr>
          <w:rFonts w:ascii="GHEA Grapalat" w:eastAsia="GHEA Grapalat" w:hAnsi="GHEA Grapalat" w:cs="GHEA Grapalat"/>
          <w:sz w:val="22"/>
          <w:szCs w:val="22"/>
          <w:lang w:val="hy-AM"/>
        </w:rPr>
        <w:t xml:space="preserve">` 4.3 </w:t>
      </w:r>
      <w:r w:rsidR="00FC3234" w:rsidRPr="000F6B0F">
        <w:rPr>
          <w:rFonts w:ascii="GHEA Grapalat" w:eastAsia="GHEA Grapalat" w:hAnsi="GHEA Grapalat" w:cs="Sylfaen"/>
          <w:sz w:val="22"/>
          <w:szCs w:val="22"/>
          <w:lang w:val="hy-AM"/>
        </w:rPr>
        <w:t>տոկոսային</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 xml:space="preserve">կետ), </w:t>
      </w:r>
      <w:r w:rsidR="00FC3234" w:rsidRPr="000F6B0F">
        <w:rPr>
          <w:rFonts w:ascii="GHEA Grapalat" w:eastAsia="GHEA Grapalat" w:hAnsi="GHEA Grapalat" w:cs="GHEA Grapalat"/>
          <w:sz w:val="22"/>
          <w:szCs w:val="22"/>
          <w:lang w:val="hy-AM"/>
        </w:rPr>
        <w:t xml:space="preserve">ինչպես նաև կացության և հանրային սննդի </w:t>
      </w:r>
      <w:r w:rsidR="001F6DEC" w:rsidRPr="000F6B0F">
        <w:rPr>
          <w:rFonts w:ascii="GHEA Grapalat" w:eastAsia="GHEA Grapalat" w:hAnsi="GHEA Grapalat" w:cs="GHEA Grapalat"/>
          <w:sz w:val="22"/>
          <w:szCs w:val="22"/>
          <w:lang w:val="hy-AM"/>
        </w:rPr>
        <w:t>կազմակերպման</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նպաստումը</w:t>
      </w:r>
      <w:r w:rsidR="00FC3234" w:rsidRPr="000F6B0F">
        <w:rPr>
          <w:rFonts w:ascii="GHEA Grapalat" w:eastAsia="GHEA Grapalat" w:hAnsi="GHEA Grapalat" w:cs="GHEA Grapalat"/>
          <w:sz w:val="22"/>
          <w:szCs w:val="22"/>
          <w:lang w:val="hy-AM"/>
        </w:rPr>
        <w:t xml:space="preserve">` 1.8 </w:t>
      </w:r>
      <w:r w:rsidR="00FC3234" w:rsidRPr="000F6B0F">
        <w:rPr>
          <w:rFonts w:ascii="GHEA Grapalat" w:eastAsia="GHEA Grapalat" w:hAnsi="GHEA Grapalat" w:cs="Sylfaen"/>
          <w:sz w:val="22"/>
          <w:szCs w:val="22"/>
          <w:lang w:val="hy-AM"/>
        </w:rPr>
        <w:t>տոկոսային</w:t>
      </w:r>
      <w:r w:rsidR="00FC3234"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Sylfaen"/>
          <w:sz w:val="22"/>
          <w:szCs w:val="22"/>
          <w:lang w:val="hy-AM"/>
        </w:rPr>
        <w:t>կետ)</w:t>
      </w:r>
      <w:r w:rsidR="00FC3234" w:rsidRPr="000F6B0F">
        <w:rPr>
          <w:rFonts w:ascii="GHEA Grapalat" w:eastAsia="GHEA Grapalat" w:hAnsi="GHEA Grapalat" w:cs="GHEA Grapalat"/>
          <w:sz w:val="22"/>
          <w:szCs w:val="22"/>
          <w:lang w:val="hy-AM"/>
        </w:rPr>
        <w:t xml:space="preserve"> ենթաճյուղերի </w:t>
      </w:r>
      <w:r w:rsidR="001F6DEC" w:rsidRPr="000F6B0F">
        <w:rPr>
          <w:rFonts w:ascii="GHEA Grapalat" w:eastAsia="GHEA Grapalat" w:hAnsi="GHEA Grapalat" w:cs="GHEA Grapalat"/>
          <w:sz w:val="22"/>
          <w:szCs w:val="22"/>
          <w:lang w:val="hy-AM"/>
        </w:rPr>
        <w:t>աճ</w:t>
      </w:r>
      <w:r w:rsidR="00FC3234" w:rsidRPr="000F6B0F">
        <w:rPr>
          <w:rFonts w:ascii="GHEA Grapalat" w:eastAsia="GHEA Grapalat" w:hAnsi="GHEA Grapalat" w:cs="GHEA Grapalat"/>
          <w:sz w:val="22"/>
          <w:szCs w:val="22"/>
          <w:lang w:val="hy-AM"/>
        </w:rPr>
        <w:t xml:space="preserve">ով: Ֆինանսական և ապահովագրական </w:t>
      </w:r>
      <w:r w:rsidR="00C631FE" w:rsidRPr="000F6B0F">
        <w:rPr>
          <w:rFonts w:ascii="GHEA Grapalat" w:eastAsia="GHEA Grapalat" w:hAnsi="GHEA Grapalat" w:cs="GHEA Grapalat"/>
          <w:sz w:val="22"/>
          <w:szCs w:val="22"/>
          <w:lang w:val="hy-AM"/>
        </w:rPr>
        <w:t>գործունեությա</w:t>
      </w:r>
      <w:r w:rsidR="00FC3234" w:rsidRPr="000F6B0F">
        <w:rPr>
          <w:rFonts w:ascii="GHEA Grapalat" w:eastAsia="GHEA Grapalat" w:hAnsi="GHEA Grapalat" w:cs="GHEA Grapalat"/>
          <w:sz w:val="22"/>
          <w:szCs w:val="22"/>
          <w:lang w:val="hy-AM"/>
        </w:rPr>
        <w:t>ն ենթաճյուղի դրական զարգացումները զուգորդվել են բանկային համակարգում 2022</w:t>
      </w:r>
      <w:r w:rsidR="00C631FE" w:rsidRPr="000F6B0F">
        <w:rPr>
          <w:rFonts w:ascii="GHEA Grapalat" w:eastAsia="GHEA Grapalat" w:hAnsi="GHEA Grapalat" w:cs="GHEA Grapalat"/>
          <w:sz w:val="22"/>
          <w:szCs w:val="22"/>
          <w:lang w:val="hy-AM"/>
        </w:rPr>
        <w:t xml:space="preserve"> </w:t>
      </w:r>
      <w:r w:rsidR="00FC3234" w:rsidRPr="000F6B0F">
        <w:rPr>
          <w:rFonts w:ascii="GHEA Grapalat" w:eastAsia="GHEA Grapalat" w:hAnsi="GHEA Grapalat" w:cs="GHEA Grapalat"/>
          <w:sz w:val="22"/>
          <w:szCs w:val="22"/>
          <w:lang w:val="hy-AM"/>
        </w:rPr>
        <w:t>թ</w:t>
      </w:r>
      <w:r w:rsidR="00C631FE" w:rsidRPr="000F6B0F">
        <w:rPr>
          <w:rFonts w:ascii="GHEA Grapalat" w:eastAsia="GHEA Grapalat" w:hAnsi="GHEA Grapalat" w:cs="GHEA Grapalat"/>
          <w:sz w:val="22"/>
          <w:szCs w:val="22"/>
          <w:lang w:val="hy-AM"/>
        </w:rPr>
        <w:t>վականի</w:t>
      </w:r>
      <w:r w:rsidR="00FC3234" w:rsidRPr="000F6B0F">
        <w:rPr>
          <w:rFonts w:ascii="GHEA Grapalat" w:eastAsia="GHEA Grapalat" w:hAnsi="GHEA Grapalat" w:cs="GHEA Grapalat"/>
          <w:sz w:val="22"/>
          <w:szCs w:val="22"/>
          <w:lang w:val="hy-AM"/>
        </w:rPr>
        <w:t xml:space="preserve"> ինն ամիսներին (հիմնականում երկրորդ և երրորդ եռամսյակներում) շահութաբերության աննախադեպ բարձր ցուցանիշներով, ինչին նպաստել են արտարժույթային գործառնություններից լրացուցիչ եկամուտները (այդ թվում</w:t>
      </w:r>
      <w:r w:rsidR="00C631FE" w:rsidRPr="000F6B0F">
        <w:rPr>
          <w:rFonts w:ascii="GHEA Grapalat" w:eastAsia="GHEA Grapalat" w:hAnsi="GHEA Grapalat" w:cs="GHEA Grapalat"/>
          <w:sz w:val="22"/>
          <w:szCs w:val="22"/>
          <w:lang w:val="hy-AM"/>
        </w:rPr>
        <w:t>՝</w:t>
      </w:r>
      <w:r w:rsidR="00FC3234" w:rsidRPr="000F6B0F">
        <w:rPr>
          <w:rFonts w:ascii="GHEA Grapalat" w:eastAsia="GHEA Grapalat" w:hAnsi="GHEA Grapalat" w:cs="GHEA Grapalat"/>
          <w:sz w:val="22"/>
          <w:szCs w:val="22"/>
          <w:lang w:val="hy-AM"/>
        </w:rPr>
        <w:t xml:space="preserve"> փոխարժեքի տատանումներից և միջնորդավճարներից գոյացած հասույթը), ինչպես նաև ոչ ռեզիդենտների կողմից նոր բանկային հաշիվների ստեղծումը:</w:t>
      </w:r>
    </w:p>
    <w:p w:rsidR="00FC3234" w:rsidRPr="000F6B0F" w:rsidRDefault="00FC3234" w:rsidP="00FC3234">
      <w:pPr>
        <w:spacing w:line="336" w:lineRule="auto"/>
        <w:ind w:firstLine="547"/>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t>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w:t>
      </w:r>
      <w:r w:rsidR="00C631FE" w:rsidRPr="000F6B0F">
        <w:rPr>
          <w:rFonts w:ascii="GHEA Grapalat" w:eastAsia="GHEA Grapalat" w:hAnsi="GHEA Grapalat" w:cs="GHEA Grapalat"/>
          <w:sz w:val="22"/>
          <w:szCs w:val="22"/>
          <w:lang w:val="hy-AM"/>
        </w:rPr>
        <w:t>՝</w:t>
      </w:r>
      <w:r w:rsidRPr="000F6B0F">
        <w:rPr>
          <w:rFonts w:ascii="GHEA Grapalat" w:eastAsia="GHEA Grapalat" w:hAnsi="GHEA Grapalat" w:cs="GHEA Grapalat"/>
          <w:sz w:val="22"/>
          <w:szCs w:val="22"/>
          <w:lang w:val="hy-AM"/>
        </w:rPr>
        <w:t xml:space="preserve"> ՀՀ տեղափոխմամբ, ինչպես նաև դեպի Հայաստան միջազգային զբոսաշրջության բարձր աճի տեմպերով: </w:t>
      </w:r>
    </w:p>
    <w:p w:rsidR="00FC3234" w:rsidRPr="0019482C" w:rsidRDefault="00FC3234" w:rsidP="00FC3234">
      <w:pPr>
        <w:spacing w:line="336" w:lineRule="auto"/>
        <w:ind w:firstLine="547"/>
        <w:jc w:val="both"/>
        <w:rPr>
          <w:rFonts w:ascii="GHEA Grapalat" w:eastAsia="GHEA Grapalat" w:hAnsi="GHEA Grapalat" w:cs="GHEA Grapalat"/>
          <w:sz w:val="22"/>
          <w:szCs w:val="22"/>
          <w:lang w:val="hy-AM"/>
        </w:rPr>
      </w:pPr>
      <w:r w:rsidRPr="0019482C">
        <w:rPr>
          <w:rFonts w:ascii="GHEA Grapalat" w:eastAsia="GHEA Grapalat" w:hAnsi="GHEA Grapalat" w:cs="GHEA Grapalat"/>
          <w:sz w:val="22"/>
          <w:szCs w:val="22"/>
          <w:lang w:val="hy-AM"/>
        </w:rPr>
        <w:t>Առևտրի 14.5% աճը հիմնականում պայմանավորված է եղել մեծածախ առևտրի աճով (նպաստումը՝ 12.1 տոկոսային կետ)։ Մեծածախ առևտրի բարձր աճը պայմանավորված է տնտեսության մյուս հատվածներում առկա բարձր պահանջարկով, ինչպես նաև ազգային արժույթի արժեզրկման սպասումների հետևանքով տնտես</w:t>
      </w:r>
      <w:r w:rsidR="00C631FE" w:rsidRPr="0019482C">
        <w:rPr>
          <w:rFonts w:ascii="GHEA Grapalat" w:eastAsia="GHEA Grapalat" w:hAnsi="GHEA Grapalat" w:cs="GHEA Grapalat"/>
          <w:sz w:val="22"/>
          <w:szCs w:val="22"/>
          <w:lang w:val="hy-AM"/>
        </w:rPr>
        <w:t>ա</w:t>
      </w:r>
      <w:r w:rsidRPr="0019482C">
        <w:rPr>
          <w:rFonts w:ascii="GHEA Grapalat" w:eastAsia="GHEA Grapalat" w:hAnsi="GHEA Grapalat" w:cs="GHEA Grapalat"/>
          <w:sz w:val="22"/>
          <w:szCs w:val="22"/>
          <w:lang w:val="hy-AM"/>
        </w:rPr>
        <w:t xml:space="preserve">վարողների կողմից ներմուծված ապրանքների պաշարների կուտակմամբ: </w:t>
      </w:r>
      <w:r w:rsidRPr="0019482C">
        <w:rPr>
          <w:rFonts w:ascii="GHEA Grapalat" w:hAnsi="GHEA Grapalat" w:cs="GHEA Grapalat"/>
          <w:sz w:val="22"/>
          <w:szCs w:val="22"/>
          <w:lang w:val="hy-AM"/>
        </w:rPr>
        <w:t>Ա</w:t>
      </w:r>
      <w:r w:rsidRPr="0019482C">
        <w:rPr>
          <w:rFonts w:ascii="GHEA Grapalat" w:eastAsia="GHEA Grapalat" w:hAnsi="GHEA Grapalat" w:cs="GHEA Grapalat"/>
          <w:sz w:val="22"/>
          <w:szCs w:val="22"/>
          <w:lang w:val="hy-AM"/>
        </w:rPr>
        <w:t xml:space="preserve">ռևտրի և ծառայությունների </w:t>
      </w:r>
      <w:r w:rsidRPr="0019482C">
        <w:rPr>
          <w:rFonts w:ascii="GHEA Grapalat" w:hAnsi="GHEA Grapalat" w:cs="GHEA Grapalat"/>
          <w:sz w:val="22"/>
          <w:szCs w:val="22"/>
          <w:lang w:val="hy-AM"/>
        </w:rPr>
        <w:t>աճն ուղեկցվել է ներքին (մասնավորապես՝ մասնավոր սպառման) և արտաքին (մասնավորապես՝ ծառայությունների արտահանման) պահանջարկի</w:t>
      </w:r>
      <w:r w:rsidR="00AA1BA3" w:rsidRPr="0019482C">
        <w:rPr>
          <w:rFonts w:ascii="GHEA Grapalat" w:hAnsi="GHEA Grapalat" w:cs="GHEA Grapalat"/>
          <w:sz w:val="22"/>
          <w:szCs w:val="22"/>
          <w:lang w:val="hy-AM"/>
        </w:rPr>
        <w:t xml:space="preserve"> </w:t>
      </w:r>
      <w:r w:rsidR="00C631FE" w:rsidRPr="0019482C">
        <w:rPr>
          <w:rFonts w:ascii="GHEA Grapalat" w:hAnsi="GHEA Grapalat" w:cs="GHEA Grapalat"/>
          <w:sz w:val="22"/>
          <w:szCs w:val="22"/>
          <w:lang w:val="hy-AM"/>
        </w:rPr>
        <w:t>աճով:</w:t>
      </w:r>
    </w:p>
    <w:p w:rsidR="00FC3234" w:rsidRPr="0019482C" w:rsidRDefault="00FC3234" w:rsidP="00FC3234">
      <w:pPr>
        <w:spacing w:line="336" w:lineRule="auto"/>
        <w:ind w:firstLine="547"/>
        <w:jc w:val="both"/>
        <w:rPr>
          <w:rFonts w:ascii="GHEA Grapalat" w:eastAsia="GHEA Grapalat" w:hAnsi="GHEA Grapalat" w:cs="GHEA Grapalat"/>
          <w:sz w:val="22"/>
          <w:szCs w:val="22"/>
          <w:lang w:val="hy-AM"/>
        </w:rPr>
      </w:pPr>
      <w:r w:rsidRPr="0019482C">
        <w:rPr>
          <w:rFonts w:ascii="GHEA Grapalat" w:eastAsia="GHEA Grapalat" w:hAnsi="GHEA Grapalat" w:cs="GHEA Grapalat"/>
          <w:bCs/>
          <w:sz w:val="22"/>
          <w:szCs w:val="22"/>
          <w:lang w:val="hy-AM"/>
        </w:rPr>
        <w:lastRenderedPageBreak/>
        <w:t>Հաշվետու ժամանակահատվածում բեռնափոխադրումների և ուղևորափոխադրումների ծավալներն աճել են:</w:t>
      </w:r>
      <w:r w:rsidRPr="0019482C">
        <w:rPr>
          <w:rFonts w:ascii="GHEA Grapalat" w:eastAsia="GHEA Grapalat" w:hAnsi="GHEA Grapalat" w:cs="GHEA Grapalat"/>
          <w:sz w:val="22"/>
          <w:szCs w:val="22"/>
          <w:lang w:val="hy-AM"/>
        </w:rPr>
        <w:t xml:space="preserve"> Բեռնափոխադրումների ծավալի 12.4% աճը հիմնականում պայմանավորված է եղել ներհանրապետական ավտոմոբիլային բեռնափոխադրումների աճով (նպաստումը՝ 8</w:t>
      </w:r>
      <w:r w:rsidRPr="0019482C">
        <w:rPr>
          <w:rFonts w:ascii="Cambria Math" w:eastAsia="GHEA Grapalat" w:hAnsi="Cambria Math" w:cs="Cambria Math"/>
          <w:sz w:val="22"/>
          <w:szCs w:val="22"/>
          <w:lang w:val="hy-AM"/>
        </w:rPr>
        <w:t>․</w:t>
      </w:r>
      <w:r w:rsidRPr="0019482C">
        <w:rPr>
          <w:rFonts w:ascii="GHEA Grapalat" w:eastAsia="GHEA Grapalat" w:hAnsi="GHEA Grapalat" w:cs="GHEA Grapalat"/>
          <w:sz w:val="22"/>
          <w:szCs w:val="22"/>
          <w:lang w:val="hy-AM"/>
        </w:rPr>
        <w:t>6 տոկոսային կետ): Ուղևորափոխադրումների ծավալն աճել է 44%-ով՝ հիմնականում պայմանավորված ավտոմոբիլային ուղևորափոխադրումների աճով (նպաստումը՝ 38.2 տոկոսային կետ):</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5002"/>
      </w:tblGrid>
      <w:tr w:rsidR="00FC3234" w:rsidRPr="00CB15FF" w:rsidTr="00AA1BA3">
        <w:trPr>
          <w:trHeight w:val="3846"/>
        </w:trPr>
        <w:tc>
          <w:tcPr>
            <w:tcW w:w="5237" w:type="dxa"/>
          </w:tcPr>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cs="Sylfaen"/>
                <w:b/>
                <w:bCs/>
                <w:i/>
                <w:sz w:val="16"/>
                <w:szCs w:val="16"/>
                <w:lang w:val="hy-AM"/>
              </w:rPr>
              <w:t>Գծապատկեր 1.</w:t>
            </w:r>
            <w:r w:rsidRPr="00CB15FF">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FC3234" w:rsidRPr="00CB15FF" w:rsidRDefault="00FC3234" w:rsidP="00AA1BA3">
            <w:pPr>
              <w:tabs>
                <w:tab w:val="right" w:pos="0"/>
              </w:tabs>
              <w:spacing w:before="120" w:after="60" w:line="240" w:lineRule="auto"/>
              <w:contextualSpacing/>
              <w:rPr>
                <w:rFonts w:ascii="GHEA Grapalat" w:hAnsi="GHEA Grapalat"/>
                <w:sz w:val="16"/>
                <w:szCs w:val="16"/>
                <w:lang w:val="hy-AM"/>
              </w:rPr>
            </w:pPr>
            <w:r w:rsidRPr="00CB15FF">
              <w:rPr>
                <w:rFonts w:ascii="GHEA Grapalat" w:hAnsi="GHEA Grapalat"/>
                <w:noProof/>
              </w:rPr>
              <w:drawing>
                <wp:inline distT="0" distB="0" distL="0" distR="0" wp14:anchorId="044A6D05" wp14:editId="36451B81">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3234" w:rsidRPr="00CB15FF" w:rsidRDefault="00FC3234" w:rsidP="00AA1BA3">
            <w:pPr>
              <w:tabs>
                <w:tab w:val="right" w:pos="0"/>
              </w:tabs>
              <w:spacing w:before="120" w:after="60" w:line="360" w:lineRule="auto"/>
              <w:contextualSpacing/>
              <w:jc w:val="both"/>
              <w:rPr>
                <w:rFonts w:ascii="GHEA Grapalat" w:hAnsi="GHEA Grapalat" w:cs="Sylfaen"/>
                <w:i/>
                <w:sz w:val="16"/>
                <w:szCs w:val="16"/>
                <w:lang w:val="hy-AM"/>
              </w:rPr>
            </w:pPr>
            <w:r w:rsidRPr="00CB15FF">
              <w:rPr>
                <w:rFonts w:ascii="GHEA Grapalat" w:hAnsi="GHEA Grapalat"/>
                <w:i/>
                <w:sz w:val="16"/>
                <w:szCs w:val="16"/>
                <w:lang w:val="hy-AM"/>
              </w:rPr>
              <w:t>Աղբյուրը՝ ՀՀ ՎԿ</w:t>
            </w:r>
          </w:p>
        </w:tc>
        <w:tc>
          <w:tcPr>
            <w:tcW w:w="5008" w:type="dxa"/>
          </w:tcPr>
          <w:p w:rsidR="00FC3234" w:rsidRPr="00CB15FF" w:rsidRDefault="00FC3234" w:rsidP="00AA1BA3">
            <w:pPr>
              <w:tabs>
                <w:tab w:val="right" w:pos="0"/>
              </w:tabs>
              <w:spacing w:before="120" w:after="0" w:line="240" w:lineRule="auto"/>
              <w:contextualSpacing/>
              <w:rPr>
                <w:rFonts w:ascii="GHEA Grapalat" w:hAnsi="GHEA Grapalat" w:cs="Sylfaen"/>
                <w:i/>
                <w:sz w:val="16"/>
                <w:szCs w:val="16"/>
                <w:lang w:val="hy-AM"/>
              </w:rPr>
            </w:pPr>
            <w:r w:rsidRPr="00CB15FF">
              <w:rPr>
                <w:rFonts w:ascii="GHEA Grapalat" w:hAnsi="GHEA Grapalat"/>
                <w:noProof/>
                <w:sz w:val="16"/>
                <w:szCs w:val="16"/>
              </w:rPr>
              <w:drawing>
                <wp:anchor distT="0" distB="0" distL="114300" distR="114300" simplePos="0" relativeHeight="251661312" behindDoc="1" locked="0" layoutInCell="1" allowOverlap="1" wp14:anchorId="143CF0AB" wp14:editId="00E98A92">
                  <wp:simplePos x="0" y="0"/>
                  <wp:positionH relativeFrom="column">
                    <wp:posOffset>-6985</wp:posOffset>
                  </wp:positionH>
                  <wp:positionV relativeFrom="paragraph">
                    <wp:posOffset>414655</wp:posOffset>
                  </wp:positionV>
                  <wp:extent cx="3020695" cy="1873250"/>
                  <wp:effectExtent l="0" t="0" r="8255" b="0"/>
                  <wp:wrapTight wrapText="bothSides">
                    <wp:wrapPolygon edited="0">
                      <wp:start x="0" y="0"/>
                      <wp:lineTo x="0" y="21527"/>
                      <wp:lineTo x="21659" y="21527"/>
                      <wp:lineTo x="21659"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CB15FF">
              <w:rPr>
                <w:rFonts w:ascii="GHEA Grapalat" w:hAnsi="GHEA Grapalat" w:cs="Sylfaen"/>
                <w:b/>
                <w:i/>
                <w:sz w:val="16"/>
                <w:szCs w:val="16"/>
                <w:lang w:val="hy-AM"/>
              </w:rPr>
              <w:t>Գծապատկեր 2.</w:t>
            </w:r>
            <w:r w:rsidRPr="00CB15FF">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FC3234" w:rsidRPr="00CB15FF" w:rsidRDefault="00FC3234" w:rsidP="00AA1BA3">
            <w:pPr>
              <w:spacing w:after="60" w:line="240" w:lineRule="auto"/>
              <w:jc w:val="both"/>
              <w:rPr>
                <w:rFonts w:ascii="GHEA Grapalat" w:hAnsi="GHEA Grapalat"/>
                <w:i/>
                <w:sz w:val="16"/>
                <w:szCs w:val="16"/>
                <w:lang w:val="hy-AM"/>
              </w:rPr>
            </w:pPr>
            <w:r w:rsidRPr="00CB15FF">
              <w:rPr>
                <w:rFonts w:ascii="GHEA Grapalat" w:hAnsi="GHEA Grapalat"/>
                <w:i/>
                <w:sz w:val="16"/>
                <w:szCs w:val="16"/>
                <w:lang w:val="hy-AM"/>
              </w:rPr>
              <w:t>Աղբյուրը՝ ՀՀ ՎԿ</w:t>
            </w:r>
            <w:r w:rsidRPr="00CB15FF" w:rsidDel="00DA0563">
              <w:rPr>
                <w:rFonts w:ascii="GHEA Grapalat" w:hAnsi="GHEA Grapalat"/>
                <w:i/>
                <w:sz w:val="16"/>
                <w:szCs w:val="16"/>
                <w:lang w:val="hy-AM"/>
              </w:rPr>
              <w:t xml:space="preserve"> </w:t>
            </w:r>
          </w:p>
        </w:tc>
      </w:tr>
      <w:tr w:rsidR="00FC3234" w:rsidRPr="0019482C" w:rsidTr="00AA1BA3">
        <w:trPr>
          <w:trHeight w:val="3671"/>
        </w:trPr>
        <w:tc>
          <w:tcPr>
            <w:tcW w:w="5237" w:type="dxa"/>
          </w:tcPr>
          <w:p w:rsidR="00FC3234" w:rsidRPr="00CB15FF" w:rsidRDefault="00FC3234" w:rsidP="00AA1BA3">
            <w:pPr>
              <w:tabs>
                <w:tab w:val="right" w:pos="0"/>
              </w:tabs>
              <w:spacing w:before="120" w:after="60" w:line="240" w:lineRule="auto"/>
              <w:contextualSpacing/>
              <w:rPr>
                <w:rFonts w:ascii="GHEA Grapalat" w:hAnsi="GHEA Grapalat" w:cs="Sylfaen"/>
                <w:b/>
                <w:bCs/>
                <w:i/>
                <w:sz w:val="6"/>
                <w:szCs w:val="6"/>
                <w:lang w:val="hy-AM"/>
              </w:rPr>
            </w:pPr>
          </w:p>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cs="Sylfaen"/>
                <w:b/>
                <w:bCs/>
                <w:i/>
                <w:sz w:val="16"/>
                <w:szCs w:val="16"/>
                <w:lang w:val="hy-AM"/>
              </w:rPr>
              <w:t>Գծապատկեր 3.</w:t>
            </w:r>
            <w:r w:rsidRPr="00CB15FF">
              <w:rPr>
                <w:rFonts w:ascii="GHEA Grapalat" w:hAnsi="GHEA Grapalat" w:cs="Sylfaen"/>
                <w:i/>
                <w:sz w:val="16"/>
                <w:szCs w:val="16"/>
                <w:lang w:val="hy-AM"/>
              </w:rPr>
              <w:t xml:space="preserve"> Տնտեսության ճյուղերի նպաստումները ՏԱՑ-ին (տ.կ.)</w:t>
            </w:r>
            <w:r w:rsidRPr="00CB15FF">
              <w:rPr>
                <w:rFonts w:ascii="GHEA Grapalat" w:hAnsi="GHEA Grapalat" w:cs="Sylfaen"/>
                <w:i/>
                <w:sz w:val="16"/>
                <w:szCs w:val="16"/>
                <w:vertAlign w:val="superscript"/>
                <w:lang w:val="hy-AM"/>
              </w:rPr>
              <w:footnoteReference w:id="8"/>
            </w:r>
            <w:r w:rsidRPr="00CB15FF">
              <w:rPr>
                <w:rFonts w:ascii="GHEA Grapalat" w:hAnsi="GHEA Grapalat" w:cs="Sylfaen"/>
                <w:i/>
                <w:sz w:val="16"/>
                <w:szCs w:val="16"/>
                <w:lang w:val="hy-AM"/>
              </w:rPr>
              <w:t xml:space="preserve"> </w:t>
            </w:r>
          </w:p>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i/>
                <w:noProof/>
                <w:sz w:val="16"/>
                <w:szCs w:val="16"/>
              </w:rPr>
              <w:drawing>
                <wp:inline distT="0" distB="0" distL="0" distR="0" wp14:anchorId="1A75AA3B" wp14:editId="2F104CD6">
                  <wp:extent cx="3095625" cy="1857375"/>
                  <wp:effectExtent l="0" t="0" r="9525"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3234" w:rsidRPr="00CB15FF" w:rsidRDefault="00FC3234" w:rsidP="00AA1BA3">
            <w:pPr>
              <w:tabs>
                <w:tab w:val="right" w:pos="0"/>
              </w:tabs>
              <w:spacing w:before="120" w:after="60" w:line="360" w:lineRule="auto"/>
              <w:contextualSpacing/>
              <w:jc w:val="both"/>
              <w:rPr>
                <w:rFonts w:ascii="GHEA Grapalat" w:hAnsi="GHEA Grapalat" w:cs="Sylfaen"/>
                <w:lang w:val="hy-AM"/>
              </w:rPr>
            </w:pPr>
            <w:r w:rsidRPr="00CB15FF">
              <w:rPr>
                <w:rFonts w:ascii="GHEA Grapalat" w:hAnsi="GHEA Grapalat"/>
                <w:i/>
                <w:sz w:val="16"/>
                <w:szCs w:val="16"/>
                <w:lang w:val="hy-AM"/>
              </w:rPr>
              <w:t>Աղբյուրը՝ ՀՀ ՎԿ, ՀՀ ՖՆ հաշվարկներ</w:t>
            </w:r>
            <w:r w:rsidRPr="00CB15FF">
              <w:rPr>
                <w:rFonts w:ascii="GHEA Grapalat" w:hAnsi="GHEA Grapalat"/>
                <w:lang w:val="hy-AM"/>
              </w:rPr>
              <w:t xml:space="preserve"> </w:t>
            </w:r>
          </w:p>
        </w:tc>
        <w:tc>
          <w:tcPr>
            <w:tcW w:w="5008" w:type="dxa"/>
          </w:tcPr>
          <w:p w:rsidR="00FC3234" w:rsidRPr="00CB15FF" w:rsidRDefault="00FC3234" w:rsidP="00AA1BA3">
            <w:pPr>
              <w:tabs>
                <w:tab w:val="right" w:pos="0"/>
              </w:tabs>
              <w:spacing w:before="120" w:after="60" w:line="312" w:lineRule="auto"/>
              <w:contextualSpacing/>
              <w:jc w:val="both"/>
              <w:rPr>
                <w:rFonts w:ascii="GHEA Grapalat" w:hAnsi="GHEA Grapalat" w:cs="Sylfaen"/>
                <w:b/>
                <w:i/>
                <w:sz w:val="4"/>
                <w:szCs w:val="4"/>
                <w:lang w:val="hy-AM"/>
              </w:rPr>
            </w:pPr>
          </w:p>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cs="Sylfaen"/>
                <w:b/>
                <w:i/>
                <w:sz w:val="16"/>
                <w:szCs w:val="16"/>
                <w:lang w:val="hy-AM"/>
              </w:rPr>
              <w:t>Գծապատկեր 4.</w:t>
            </w:r>
            <w:r w:rsidRPr="00CB15FF">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CB15FF">
              <w:rPr>
                <w:rFonts w:ascii="GHEA Grapalat" w:hAnsi="GHEA Grapalat" w:cs="Sylfaen"/>
                <w:i/>
                <w:sz w:val="18"/>
                <w:szCs w:val="18"/>
                <w:lang w:val="hy-AM"/>
              </w:rPr>
              <w:t xml:space="preserve"> </w:t>
            </w:r>
            <w:r w:rsidRPr="00CB15FF">
              <w:rPr>
                <w:rFonts w:ascii="GHEA Grapalat" w:hAnsi="GHEA Grapalat" w:cs="Sylfaen"/>
                <w:i/>
                <w:sz w:val="16"/>
                <w:szCs w:val="18"/>
                <w:lang w:val="hy-AM"/>
              </w:rPr>
              <w:t>(տ.կ.)</w:t>
            </w:r>
            <w:r w:rsidRPr="00CB15FF">
              <w:rPr>
                <w:rFonts w:ascii="GHEA Grapalat" w:hAnsi="GHEA Grapalat" w:cs="Sylfaen"/>
                <w:i/>
                <w:sz w:val="16"/>
                <w:szCs w:val="16"/>
                <w:vertAlign w:val="superscript"/>
                <w:lang w:val="hy-AM"/>
              </w:rPr>
              <w:t xml:space="preserve"> </w:t>
            </w:r>
          </w:p>
          <w:p w:rsidR="00FC3234" w:rsidRPr="00CB15FF" w:rsidRDefault="00FC3234" w:rsidP="00AA1BA3">
            <w:pPr>
              <w:tabs>
                <w:tab w:val="right" w:pos="0"/>
              </w:tabs>
              <w:spacing w:before="120" w:after="60" w:line="240" w:lineRule="auto"/>
              <w:contextualSpacing/>
              <w:rPr>
                <w:rFonts w:ascii="GHEA Grapalat" w:hAnsi="GHEA Grapalat"/>
                <w:lang w:val="hy-AM"/>
              </w:rPr>
            </w:pPr>
            <w:r w:rsidRPr="00CB15FF">
              <w:rPr>
                <w:rFonts w:ascii="GHEA Grapalat" w:hAnsi="GHEA Grapalat"/>
                <w:noProof/>
              </w:rPr>
              <w:drawing>
                <wp:inline distT="0" distB="0" distL="0" distR="0" wp14:anchorId="1F6083F3" wp14:editId="54B2C712">
                  <wp:extent cx="2963766" cy="1900362"/>
                  <wp:effectExtent l="0" t="0" r="8255" b="50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3234" w:rsidRPr="00CB15FF" w:rsidRDefault="00FC3234" w:rsidP="00AA1BA3">
            <w:pPr>
              <w:spacing w:before="40" w:after="60" w:line="312" w:lineRule="auto"/>
              <w:jc w:val="both"/>
              <w:rPr>
                <w:rFonts w:ascii="GHEA Grapalat" w:hAnsi="GHEA Grapalat"/>
                <w:i/>
                <w:sz w:val="16"/>
                <w:szCs w:val="16"/>
                <w:lang w:val="hy-AM"/>
              </w:rPr>
            </w:pPr>
            <w:r w:rsidRPr="00CB15FF">
              <w:rPr>
                <w:rFonts w:ascii="GHEA Grapalat" w:hAnsi="GHEA Grapalat"/>
                <w:i/>
                <w:sz w:val="16"/>
                <w:szCs w:val="16"/>
                <w:lang w:val="hy-AM"/>
              </w:rPr>
              <w:t>Աղբյուրը՝ ՀՀ ՎԿ, ՀՀ ՖՆ հաշվարկներ</w:t>
            </w:r>
          </w:p>
        </w:tc>
      </w:tr>
    </w:tbl>
    <w:p w:rsidR="00181B1E" w:rsidRPr="000F6B0F" w:rsidRDefault="00181B1E" w:rsidP="00747183">
      <w:pPr>
        <w:spacing w:line="360" w:lineRule="auto"/>
        <w:ind w:firstLine="567"/>
        <w:jc w:val="both"/>
        <w:rPr>
          <w:rFonts w:ascii="GHEA Grapalat" w:eastAsia="GHEA Grapalat" w:hAnsi="GHEA Grapalat" w:cs="GHEA Grapalat"/>
          <w:sz w:val="22"/>
          <w:szCs w:val="22"/>
          <w:lang w:val="hy-AM"/>
        </w:rPr>
      </w:pPr>
    </w:p>
    <w:p w:rsidR="00747183" w:rsidRPr="00CB15FF" w:rsidRDefault="00FC3234" w:rsidP="00747183">
      <w:pPr>
        <w:spacing w:line="360" w:lineRule="auto"/>
        <w:ind w:firstLine="567"/>
        <w:jc w:val="both"/>
        <w:rPr>
          <w:rFonts w:ascii="GHEA Grapalat" w:hAnsi="GHEA Grapalat" w:cs="GHEA Grapalat"/>
          <w:sz w:val="22"/>
          <w:szCs w:val="22"/>
          <w:lang w:val="hy-AM"/>
        </w:rPr>
      </w:pPr>
      <w:r w:rsidRPr="000F6B0F">
        <w:rPr>
          <w:rFonts w:ascii="GHEA Grapalat" w:eastAsia="GHEA Grapalat" w:hAnsi="GHEA Grapalat" w:cs="GHEA Grapalat"/>
          <w:sz w:val="22"/>
          <w:szCs w:val="22"/>
          <w:lang w:val="hy-AM"/>
        </w:rPr>
        <w:t>Զբոսաշրջիկների այցելությունների բարձր աճն (2022</w:t>
      </w:r>
      <w:r w:rsidR="00C631FE"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թ</w:t>
      </w:r>
      <w:r w:rsidR="00C631FE" w:rsidRPr="000F6B0F">
        <w:rPr>
          <w:rFonts w:ascii="GHEA Grapalat" w:eastAsia="GHEA Grapalat" w:hAnsi="GHEA Grapalat" w:cs="GHEA Grapalat"/>
          <w:sz w:val="22"/>
          <w:szCs w:val="22"/>
          <w:lang w:val="hy-AM"/>
        </w:rPr>
        <w:t>վականի</w:t>
      </w:r>
      <w:r w:rsidRPr="000F6B0F">
        <w:rPr>
          <w:rFonts w:ascii="GHEA Grapalat" w:eastAsia="GHEA Grapalat" w:hAnsi="GHEA Grapalat" w:cs="GHEA Grapalat"/>
          <w:sz w:val="22"/>
          <w:szCs w:val="22"/>
          <w:lang w:val="hy-AM"/>
        </w:rPr>
        <w:t xml:space="preserve"> ինն ամիսներին նախորդ տարվա նույն ժամանակահատվածի նկատմամբ 2 անգամ) իր հերթին դրական ազդեցություն է ունեցել ծառայությունների որոշ տեսակների, առևտրի, ինչպես նաև ուղևորափոխադրումների վրա:</w:t>
      </w:r>
    </w:p>
    <w:p w:rsidR="00747183" w:rsidRPr="000F6B0F" w:rsidRDefault="00747183" w:rsidP="00747183">
      <w:pPr>
        <w:spacing w:line="360" w:lineRule="auto"/>
        <w:ind w:firstLine="567"/>
        <w:jc w:val="both"/>
        <w:rPr>
          <w:rFonts w:ascii="GHEA Grapalat" w:eastAsia="GHEA Grapalat" w:hAnsi="GHEA Grapalat" w:cs="GHEA Grapalat"/>
          <w:sz w:val="22"/>
          <w:szCs w:val="22"/>
          <w:lang w:val="hy-AM"/>
        </w:rPr>
      </w:pPr>
    </w:p>
    <w:p w:rsidR="003A11F5" w:rsidRPr="000F6B0F" w:rsidRDefault="00747183" w:rsidP="00747183">
      <w:pPr>
        <w:spacing w:line="360" w:lineRule="auto"/>
        <w:ind w:firstLine="567"/>
        <w:jc w:val="both"/>
        <w:rPr>
          <w:rFonts w:ascii="GHEA Grapalat" w:hAnsi="GHEA Grapalat" w:cs="GHEA Grapalat"/>
          <w:b/>
          <w:i/>
          <w:sz w:val="22"/>
          <w:szCs w:val="22"/>
          <w:lang w:val="hy-AM"/>
        </w:rPr>
      </w:pPr>
      <w:r w:rsidRPr="00CB15FF">
        <w:rPr>
          <w:rFonts w:ascii="GHEA Grapalat" w:hAnsi="GHEA Grapalat" w:cs="GHEA Grapalat"/>
          <w:b/>
          <w:i/>
          <w:sz w:val="22"/>
          <w:szCs w:val="22"/>
          <w:lang w:val="hy-AM"/>
        </w:rPr>
        <w:t>Համախառն պահանջարկ</w:t>
      </w:r>
      <w:r w:rsidRPr="00CB15FF">
        <w:rPr>
          <w:rFonts w:ascii="GHEA Grapalat" w:hAnsi="GHEA Grapalat"/>
          <w:b/>
          <w:i/>
          <w:sz w:val="22"/>
          <w:szCs w:val="22"/>
          <w:vertAlign w:val="superscript"/>
          <w:lang w:val="hy-AM"/>
        </w:rPr>
        <w:footnoteReference w:id="9"/>
      </w:r>
    </w:p>
    <w:p w:rsidR="00747183" w:rsidRPr="000F6B0F" w:rsidRDefault="00FC3234" w:rsidP="00747183">
      <w:pPr>
        <w:spacing w:line="360" w:lineRule="auto"/>
        <w:ind w:firstLine="567"/>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lastRenderedPageBreak/>
        <w:t>Հունվար-սեպտեմբերին տնտեսական ակտիվության աճն ուղեկցվել է ինչպես ներքին, այնպես էլ արտաքին պահանջարկի աճով:</w:t>
      </w:r>
    </w:p>
    <w:p w:rsidR="00747183" w:rsidRPr="00CB15FF" w:rsidRDefault="00747183" w:rsidP="00747183">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b/>
          <w:i/>
          <w:sz w:val="22"/>
          <w:szCs w:val="22"/>
          <w:lang w:val="hy-AM"/>
        </w:rPr>
        <w:t>Սպառում։</w:t>
      </w:r>
      <w:r w:rsidRPr="00CB15FF">
        <w:rPr>
          <w:rFonts w:ascii="GHEA Grapalat" w:hAnsi="GHEA Grapalat" w:cs="GHEA Grapalat"/>
          <w:sz w:val="22"/>
          <w:szCs w:val="22"/>
          <w:lang w:val="hy-AM"/>
        </w:rPr>
        <w:t xml:space="preserve"> </w:t>
      </w:r>
      <w:r w:rsidR="003A11F5" w:rsidRPr="000F6B0F">
        <w:rPr>
          <w:rFonts w:ascii="GHEA Grapalat" w:eastAsia="GHEA Grapalat" w:hAnsi="GHEA Grapalat" w:cs="GHEA Grapalat"/>
          <w:sz w:val="22"/>
          <w:szCs w:val="22"/>
          <w:lang w:val="hy-AM"/>
        </w:rPr>
        <w:t>Հունվար-սեպտեմբերին սպառումն իրական արտահայտությամբ աճել է շուրջ 8</w:t>
      </w:r>
      <w:r w:rsidR="00C631FE" w:rsidRPr="000F6B0F">
        <w:rPr>
          <w:rFonts w:ascii="GHEA Grapalat" w:eastAsia="GHEA Grapalat" w:hAnsi="GHEA Grapalat" w:cs="GHEA Grapalat"/>
          <w:sz w:val="22"/>
          <w:szCs w:val="22"/>
          <w:lang w:val="hy-AM"/>
        </w:rPr>
        <w:t>%</w:t>
      </w:r>
      <w:r w:rsidR="00C631FE" w:rsidRPr="000F6B0F">
        <w:rPr>
          <w:rFonts w:ascii="GHEA Grapalat" w:eastAsia="GHEA Grapalat" w:hAnsi="GHEA Grapalat" w:cs="GHEA Grapalat"/>
          <w:sz w:val="22"/>
          <w:szCs w:val="22"/>
          <w:lang w:val="hy-AM"/>
        </w:rPr>
        <w:noBreakHyphen/>
      </w:r>
      <w:r w:rsidR="003A11F5" w:rsidRPr="000F6B0F">
        <w:rPr>
          <w:rFonts w:ascii="GHEA Grapalat" w:eastAsia="GHEA Grapalat" w:hAnsi="GHEA Grapalat" w:cs="GHEA Grapalat"/>
          <w:sz w:val="22"/>
          <w:szCs w:val="22"/>
          <w:lang w:val="hy-AM"/>
        </w:rPr>
        <w:t xml:space="preserve">ով՝ պայմանավորված մասնավոր հատվածի սպառման աճով, որին նպաստել են բնակչության տնօրինվող եկամտի աճը (այդ թվում՝ դրամական փոխանցումների բարձր աճը, ինչպես նաև ծառայությունների ոլորտում աշխատավարձերի բարձր </w:t>
      </w:r>
      <w:r w:rsidR="00C631FE" w:rsidRPr="000F6B0F">
        <w:rPr>
          <w:rFonts w:ascii="GHEA Grapalat" w:eastAsia="GHEA Grapalat" w:hAnsi="GHEA Grapalat" w:cs="GHEA Grapalat"/>
          <w:sz w:val="22"/>
          <w:szCs w:val="22"/>
          <w:lang w:val="hy-AM"/>
        </w:rPr>
        <w:t>աճ</w:t>
      </w:r>
      <w:r w:rsidR="003A11F5" w:rsidRPr="000F6B0F">
        <w:rPr>
          <w:rFonts w:ascii="GHEA Grapalat" w:eastAsia="GHEA Grapalat" w:hAnsi="GHEA Grapalat" w:cs="GHEA Grapalat"/>
          <w:sz w:val="22"/>
          <w:szCs w:val="22"/>
          <w:lang w:val="hy-AM"/>
        </w:rPr>
        <w:t>ը) և համավարակի պայմաններում կուտակված խնայողությունների օգտագործումը: Մասնավոր սպառման աճին դրական նպաստում է ունեցել նաև դեպի Հայաստան զբոսաշրջության բարձր աճը: Տնտեսական բարձր աճի պայմաններում իրականացվող զսպող հարկաբյուջետային քաղաքականության հետևանքով պետական սպառման նվազումը զսպել է սպառման աճը։</w:t>
      </w:r>
    </w:p>
    <w:p w:rsidR="003A11F5" w:rsidRPr="000F6B0F" w:rsidRDefault="00747183" w:rsidP="00E934AC">
      <w:pPr>
        <w:spacing w:line="360" w:lineRule="auto"/>
        <w:ind w:firstLine="567"/>
        <w:jc w:val="both"/>
        <w:rPr>
          <w:rFonts w:ascii="GHEA Grapalat" w:eastAsia="GHEA Grapalat" w:hAnsi="GHEA Grapalat" w:cs="GHEA Grapalat"/>
          <w:sz w:val="22"/>
          <w:szCs w:val="22"/>
          <w:lang w:val="hy-AM"/>
        </w:rPr>
      </w:pPr>
      <w:r w:rsidRPr="00CB15FF">
        <w:rPr>
          <w:rFonts w:ascii="GHEA Grapalat" w:hAnsi="GHEA Grapalat" w:cs="GHEA Grapalat"/>
          <w:b/>
          <w:i/>
          <w:sz w:val="22"/>
          <w:szCs w:val="22"/>
          <w:lang w:val="hy-AM"/>
        </w:rPr>
        <w:t xml:space="preserve">Ներդրումներ։ </w:t>
      </w:r>
      <w:r w:rsidR="003A11F5" w:rsidRPr="000F6B0F">
        <w:rPr>
          <w:rFonts w:ascii="GHEA Grapalat" w:eastAsia="GHEA Grapalat" w:hAnsi="GHEA Grapalat" w:cs="GHEA Grapalat"/>
          <w:sz w:val="22"/>
          <w:szCs w:val="22"/>
          <w:lang w:val="hy-AM"/>
        </w:rPr>
        <w:t>Հունվար-սեպտեմբերին գնահատվում է կապիտալ ներդրումների</w:t>
      </w:r>
      <w:r w:rsidR="003A11F5" w:rsidRPr="00CB15FF">
        <w:rPr>
          <w:rFonts w:ascii="GHEA Grapalat" w:eastAsia="GHEA Grapalat" w:hAnsi="GHEA Grapalat" w:cs="GHEA Grapalat"/>
          <w:sz w:val="22"/>
          <w:szCs w:val="22"/>
          <w:vertAlign w:val="superscript"/>
        </w:rPr>
        <w:footnoteReference w:id="10"/>
      </w:r>
      <w:r w:rsidR="00C631FE" w:rsidRPr="000F6B0F">
        <w:rPr>
          <w:rFonts w:ascii="GHEA Grapalat" w:eastAsia="GHEA Grapalat" w:hAnsi="GHEA Grapalat" w:cs="GHEA Grapalat"/>
          <w:sz w:val="22"/>
          <w:szCs w:val="22"/>
          <w:lang w:val="hy-AM"/>
        </w:rPr>
        <w:t>՝</w:t>
      </w:r>
      <w:r w:rsidR="003A11F5" w:rsidRPr="000F6B0F">
        <w:rPr>
          <w:rFonts w:ascii="GHEA Grapalat" w:eastAsia="GHEA Grapalat" w:hAnsi="GHEA Grapalat" w:cs="GHEA Grapalat"/>
          <w:sz w:val="22"/>
          <w:szCs w:val="22"/>
          <w:lang w:val="hy-AM"/>
        </w:rPr>
        <w:t xml:space="preserve"> նախորդ տարվա նույն ժամանակահատվածի նկատմամբ իրական արտահայտությամբ շուրջ 18.3% աճ՝ հիմնականում պայմանավորված մասնավոր ներդրումների աճով: Պետական ներդրումների աճը ևս դրական է նպաստել ընդհանուր ներդրումների աճին։ </w:t>
      </w:r>
      <w:r w:rsidR="003A11F5" w:rsidRPr="000F6B0F">
        <w:rPr>
          <w:rFonts w:ascii="GHEA Grapalat" w:hAnsi="GHEA Grapalat"/>
          <w:color w:val="000000"/>
          <w:sz w:val="22"/>
          <w:szCs w:val="22"/>
          <w:lang w:val="hy-AM"/>
        </w:rPr>
        <w:t>Մասնավոր ներդրո</w:t>
      </w:r>
      <w:r w:rsidR="00E934AC" w:rsidRPr="000F6B0F">
        <w:rPr>
          <w:rFonts w:ascii="GHEA Grapalat" w:hAnsi="GHEA Grapalat"/>
          <w:color w:val="000000"/>
          <w:sz w:val="22"/>
          <w:szCs w:val="22"/>
          <w:lang w:val="hy-AM"/>
        </w:rPr>
        <w:t>ւմների վրա դրական ազդեցություն է</w:t>
      </w:r>
      <w:r w:rsidR="003A11F5" w:rsidRPr="000F6B0F">
        <w:rPr>
          <w:rFonts w:ascii="GHEA Grapalat" w:hAnsi="GHEA Grapalat"/>
          <w:color w:val="000000"/>
          <w:sz w:val="22"/>
          <w:szCs w:val="22"/>
          <w:lang w:val="hy-AM"/>
        </w:rPr>
        <w:t xml:space="preserve"> ունեցել </w:t>
      </w:r>
      <w:r w:rsidR="004320B5" w:rsidRPr="000F6B0F">
        <w:rPr>
          <w:rFonts w:ascii="GHEA Grapalat" w:hAnsi="GHEA Grapalat"/>
          <w:color w:val="000000"/>
          <w:sz w:val="22"/>
          <w:szCs w:val="22"/>
          <w:lang w:val="hy-AM"/>
        </w:rPr>
        <w:t>հիպոտեկ</w:t>
      </w:r>
      <w:r w:rsidR="003A11F5" w:rsidRPr="000F6B0F">
        <w:rPr>
          <w:rFonts w:ascii="GHEA Grapalat" w:hAnsi="GHEA Grapalat"/>
          <w:color w:val="000000"/>
          <w:sz w:val="22"/>
          <w:szCs w:val="22"/>
          <w:lang w:val="hy-AM"/>
        </w:rPr>
        <w:t>ային և շինարարության վարկերի ծավալների աճը:</w:t>
      </w:r>
      <w:r w:rsidR="00AA1BA3" w:rsidRPr="000F6B0F">
        <w:rPr>
          <w:rFonts w:ascii="GHEA Grapalat" w:hAnsi="GHEA Grapalat"/>
          <w:color w:val="000000"/>
          <w:sz w:val="22"/>
          <w:szCs w:val="22"/>
          <w:lang w:val="hy-AM"/>
        </w:rPr>
        <w:t xml:space="preserve"> </w:t>
      </w:r>
    </w:p>
    <w:p w:rsidR="00747183" w:rsidRPr="00CB15FF" w:rsidRDefault="003A11F5" w:rsidP="003A11F5">
      <w:pPr>
        <w:spacing w:line="360" w:lineRule="auto"/>
        <w:ind w:firstLine="567"/>
        <w:jc w:val="both"/>
        <w:rPr>
          <w:rFonts w:ascii="GHEA Grapalat" w:hAnsi="GHEA Grapalat" w:cs="GHEA Grapalat"/>
          <w:sz w:val="22"/>
          <w:szCs w:val="22"/>
          <w:lang w:val="hy-AM"/>
        </w:rPr>
      </w:pPr>
      <w:r w:rsidRPr="000F6B0F">
        <w:rPr>
          <w:rFonts w:ascii="GHEA Grapalat" w:eastAsia="GHEA Grapalat" w:hAnsi="GHEA Grapalat" w:cs="GHEA Grapalat"/>
          <w:sz w:val="22"/>
          <w:szCs w:val="22"/>
          <w:lang w:val="hy-AM"/>
        </w:rPr>
        <w:t xml:space="preserve">Ներդրումների աճը հիմնականում պայմանավորված է եղել անշարժ գույքի հետ կապված գործունեության, տրանսպորտի, կրթություն, ջրամատակարարում, կոյուղի, թափոնների կառավարում և վերամշակում, ինչպես նաև մշակող արդյունաբերության ոլորտներում կատարված ներդրումների </w:t>
      </w:r>
      <w:r w:rsidR="00E934AC" w:rsidRPr="000F6B0F">
        <w:rPr>
          <w:rFonts w:ascii="GHEA Grapalat" w:eastAsia="GHEA Grapalat" w:hAnsi="GHEA Grapalat" w:cs="GHEA Grapalat"/>
          <w:sz w:val="22"/>
          <w:szCs w:val="22"/>
          <w:lang w:val="hy-AM"/>
        </w:rPr>
        <w:t>աճ</w:t>
      </w:r>
      <w:r w:rsidRPr="000F6B0F">
        <w:rPr>
          <w:rFonts w:ascii="GHEA Grapalat" w:eastAsia="GHEA Grapalat" w:hAnsi="GHEA Grapalat" w:cs="GHEA Grapalat"/>
          <w:sz w:val="22"/>
          <w:szCs w:val="22"/>
          <w:lang w:val="hy-AM"/>
        </w:rPr>
        <w:t>ով</w:t>
      </w:r>
      <w:r w:rsidRPr="00CB15FF">
        <w:rPr>
          <w:rFonts w:ascii="GHEA Grapalat" w:eastAsia="GHEA Grapalat" w:hAnsi="GHEA Grapalat" w:cs="GHEA Grapalat"/>
          <w:sz w:val="22"/>
          <w:szCs w:val="22"/>
          <w:vertAlign w:val="superscript"/>
        </w:rPr>
        <w:footnoteReference w:id="11"/>
      </w:r>
      <w:r w:rsidRPr="000F6B0F">
        <w:rPr>
          <w:rFonts w:ascii="GHEA Grapalat" w:eastAsia="GHEA Grapalat" w:hAnsi="GHEA Grapalat" w:cs="GHEA Grapalat"/>
          <w:sz w:val="22"/>
          <w:szCs w:val="22"/>
          <w:lang w:val="hy-AM"/>
        </w:rPr>
        <w:t>:</w:t>
      </w:r>
    </w:p>
    <w:p w:rsidR="00747183" w:rsidRPr="00CB15FF" w:rsidRDefault="00747183" w:rsidP="00825352">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b/>
          <w:i/>
          <w:sz w:val="22"/>
          <w:szCs w:val="22"/>
          <w:lang w:val="hy-AM"/>
        </w:rPr>
        <w:t>Զուտ արտահանում։</w:t>
      </w:r>
      <w:r w:rsidRPr="00CB15FF">
        <w:rPr>
          <w:rFonts w:ascii="GHEA Grapalat" w:hAnsi="GHEA Grapalat" w:cs="GHEA Grapalat"/>
          <w:sz w:val="22"/>
          <w:szCs w:val="22"/>
          <w:lang w:val="hy-AM"/>
        </w:rPr>
        <w:t xml:space="preserve"> </w:t>
      </w:r>
      <w:r w:rsidR="003A11F5" w:rsidRPr="000F6B0F">
        <w:rPr>
          <w:rFonts w:ascii="GHEA Grapalat" w:eastAsia="GHEA Grapalat" w:hAnsi="GHEA Grapalat" w:cs="GHEA Grapalat"/>
          <w:sz w:val="22"/>
          <w:szCs w:val="22"/>
          <w:lang w:val="hy-AM"/>
        </w:rPr>
        <w:t xml:space="preserve">Ապրանքների և ծառայությունների արտահանման իրական ծավալների աճը գնահատվում է մոտ 48%`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36%-ով` պայմանավորված տնտեսական ակտիվության և ներքին պահանջարկի աճով: Ներմուծման աճին դրական նպաստում </w:t>
      </w:r>
      <w:r w:rsidR="00E934AC" w:rsidRPr="000F6B0F">
        <w:rPr>
          <w:rFonts w:ascii="GHEA Grapalat" w:eastAsia="GHEA Grapalat" w:hAnsi="GHEA Grapalat" w:cs="GHEA Grapalat"/>
          <w:sz w:val="22"/>
          <w:szCs w:val="22"/>
          <w:lang w:val="hy-AM"/>
        </w:rPr>
        <w:t>են</w:t>
      </w:r>
      <w:r w:rsidR="003A11F5" w:rsidRPr="000F6B0F">
        <w:rPr>
          <w:rFonts w:ascii="GHEA Grapalat" w:eastAsia="GHEA Grapalat" w:hAnsi="GHEA Grapalat" w:cs="GHEA Grapalat"/>
          <w:sz w:val="22"/>
          <w:szCs w:val="22"/>
          <w:lang w:val="hy-AM"/>
        </w:rPr>
        <w:t xml:space="preserve"> ունեցել նաև արժևորված ազգային արժույթը և տնտես</w:t>
      </w:r>
      <w:r w:rsidR="00E934AC" w:rsidRPr="000F6B0F">
        <w:rPr>
          <w:rFonts w:ascii="GHEA Grapalat" w:eastAsia="GHEA Grapalat" w:hAnsi="GHEA Grapalat" w:cs="GHEA Grapalat"/>
          <w:sz w:val="22"/>
          <w:szCs w:val="22"/>
          <w:lang w:val="hy-AM"/>
        </w:rPr>
        <w:t>ա</w:t>
      </w:r>
      <w:r w:rsidR="003A11F5" w:rsidRPr="000F6B0F">
        <w:rPr>
          <w:rFonts w:ascii="GHEA Grapalat" w:eastAsia="GHEA Grapalat" w:hAnsi="GHEA Grapalat" w:cs="GHEA Grapalat"/>
          <w:sz w:val="22"/>
          <w:szCs w:val="22"/>
          <w:lang w:val="hy-AM"/>
        </w:rPr>
        <w:t>վարողների կողմից ազգային արժույթի արժեզրկման սպասումներով պայմանավորված ներմուծման ծավալների աճը:</w:t>
      </w:r>
    </w:p>
    <w:p w:rsidR="00563135" w:rsidRPr="00CB15FF" w:rsidRDefault="00563135" w:rsidP="00773FC6">
      <w:pPr>
        <w:spacing w:line="360" w:lineRule="auto"/>
        <w:ind w:firstLine="567"/>
        <w:jc w:val="both"/>
        <w:rPr>
          <w:rFonts w:ascii="GHEA Grapalat" w:hAnsi="GHEA Grapalat" w:cs="GHEA Grapalat"/>
          <w:sz w:val="22"/>
          <w:szCs w:val="22"/>
          <w:lang w:val="hy-AM"/>
        </w:rPr>
      </w:pPr>
    </w:p>
    <w:p w:rsidR="00563135" w:rsidRPr="000F6B0F" w:rsidRDefault="00563135" w:rsidP="00563135">
      <w:pPr>
        <w:pStyle w:val="Heading6"/>
        <w:ind w:left="567"/>
        <w:rPr>
          <w:rFonts w:ascii="GHEA Grapalat" w:hAnsi="GHEA Grapalat"/>
          <w:b/>
          <w:sz w:val="22"/>
          <w:szCs w:val="22"/>
          <w:u w:val="none"/>
        </w:rPr>
      </w:pPr>
      <w:bookmarkStart w:id="21" w:name="_Toc71311883"/>
      <w:r w:rsidRPr="00CB15FF">
        <w:rPr>
          <w:rFonts w:ascii="GHEA Grapalat" w:hAnsi="GHEA Grapalat"/>
          <w:b/>
          <w:sz w:val="22"/>
          <w:szCs w:val="22"/>
          <w:u w:val="none"/>
        </w:rPr>
        <w:lastRenderedPageBreak/>
        <w:t>Աշխատանքի շուկա</w:t>
      </w:r>
      <w:bookmarkEnd w:id="21"/>
    </w:p>
    <w:p w:rsidR="003A11F5" w:rsidRPr="000F6B0F" w:rsidRDefault="003A11F5" w:rsidP="003A11F5">
      <w:pPr>
        <w:spacing w:line="360" w:lineRule="auto"/>
        <w:ind w:firstLine="567"/>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t xml:space="preserve">Տնտեսական բարձր ակտիվության պայմաններում հունվար-սեպտեմբերին վարձու աշխատողների թիվը և </w:t>
      </w:r>
      <w:r w:rsidR="00E934AC" w:rsidRPr="000F6B0F">
        <w:rPr>
          <w:rFonts w:ascii="GHEA Grapalat" w:eastAsia="GHEA Grapalat" w:hAnsi="GHEA Grapalat" w:cs="GHEA Grapalat"/>
          <w:sz w:val="22"/>
          <w:szCs w:val="22"/>
          <w:lang w:val="hy-AM"/>
        </w:rPr>
        <w:t>աշխատավարձերն</w:t>
      </w:r>
      <w:r w:rsidRPr="000F6B0F">
        <w:rPr>
          <w:rFonts w:ascii="GHEA Grapalat" w:eastAsia="GHEA Grapalat" w:hAnsi="GHEA Grapalat" w:cs="GHEA Grapalat"/>
          <w:sz w:val="22"/>
          <w:szCs w:val="22"/>
          <w:lang w:val="hy-AM"/>
        </w:rPr>
        <w:t xml:space="preserve"> աճել են։ 2022 թվականի հունվար-սեպտեմբերին պաշտոնապես գրանցված գործազուրկների միջին ամսական թիվը նախորդ տարվա նույն ժամանակահատվածի նկատմամբ նվազել է 11.7%-ով՝ կազմելով 54,577 մարդ: Միևնույն ժամանակ վարձու աշխատողների թիվն աճել է շուրջ 5.4%-ով՝ կազմելով 677,562</w:t>
      </w:r>
      <w:r w:rsidR="00AA1BA3"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 xml:space="preserve">մարդ։ Վարձու աշխատողների թվի աճին հիմնականում նպաստել </w:t>
      </w:r>
      <w:r w:rsidR="00E934AC" w:rsidRPr="000F6B0F">
        <w:rPr>
          <w:rFonts w:ascii="GHEA Grapalat" w:eastAsia="GHEA Grapalat" w:hAnsi="GHEA Grapalat" w:cs="GHEA Grapalat"/>
          <w:sz w:val="22"/>
          <w:szCs w:val="22"/>
          <w:lang w:val="hy-AM"/>
        </w:rPr>
        <w:t>է</w:t>
      </w:r>
      <w:r w:rsidRPr="000F6B0F">
        <w:rPr>
          <w:rFonts w:ascii="GHEA Grapalat" w:eastAsia="GHEA Grapalat" w:hAnsi="GHEA Grapalat" w:cs="GHEA Grapalat"/>
          <w:sz w:val="22"/>
          <w:szCs w:val="22"/>
          <w:lang w:val="hy-AM"/>
        </w:rPr>
        <w:t xml:space="preserve"> մեծածախ և մանրածախ առևտրի, տեղեկատվական տեխնոլոգիաների, կացության և հանրային սննդի կազմակերպման, ինչպես նաև շինարարության, մշակող արդյունաբերության և տուրիզմին սպասարկող այլ ոլորտներում աշխատողների թվի աճը։ Սա իր հերթին հիմնականում պայմանավորված է ՀՀ ժամանած զբոսաշրջիկների և աշխատանքային միգրանտների թվի ավելացմամբ։</w:t>
      </w:r>
    </w:p>
    <w:p w:rsidR="003A11F5" w:rsidRPr="000F6B0F" w:rsidRDefault="003A11F5" w:rsidP="003A11F5">
      <w:pPr>
        <w:spacing w:line="360" w:lineRule="auto"/>
        <w:ind w:firstLine="567"/>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t>2022</w:t>
      </w:r>
      <w:r w:rsidR="00E934AC" w:rsidRPr="000F6B0F">
        <w:rPr>
          <w:rFonts w:ascii="GHEA Grapalat" w:eastAsia="GHEA Grapalat" w:hAnsi="GHEA Grapalat" w:cs="GHEA Grapalat"/>
          <w:sz w:val="22"/>
          <w:szCs w:val="22"/>
          <w:lang w:val="hy-AM"/>
        </w:rPr>
        <w:t xml:space="preserve"> </w:t>
      </w:r>
      <w:r w:rsidRPr="000F6B0F">
        <w:rPr>
          <w:rFonts w:ascii="GHEA Grapalat" w:eastAsia="GHEA Grapalat" w:hAnsi="GHEA Grapalat" w:cs="GHEA Grapalat"/>
          <w:sz w:val="22"/>
          <w:szCs w:val="22"/>
          <w:lang w:val="hy-AM"/>
        </w:rPr>
        <w:t>թ</w:t>
      </w:r>
      <w:r w:rsidR="00E934AC" w:rsidRPr="000F6B0F">
        <w:rPr>
          <w:rFonts w:ascii="GHEA Grapalat" w:eastAsia="GHEA Grapalat" w:hAnsi="GHEA Grapalat" w:cs="GHEA Grapalat"/>
          <w:sz w:val="22"/>
          <w:szCs w:val="22"/>
          <w:lang w:val="hy-AM"/>
        </w:rPr>
        <w:t>վականի</w:t>
      </w:r>
      <w:r w:rsidRPr="000F6B0F">
        <w:rPr>
          <w:rFonts w:ascii="GHEA Grapalat" w:eastAsia="GHEA Grapalat" w:hAnsi="GHEA Grapalat" w:cs="GHEA Grapalat"/>
          <w:sz w:val="22"/>
          <w:szCs w:val="22"/>
          <w:lang w:val="hy-AM"/>
        </w:rPr>
        <w:t xml:space="preserve"> երկրորդ եռամսյակում գործազրկության մակարդակը նախորդ տարվա նույն եռամսյակի նկատմամբ նվազել է 1.5 տոկոսային կետով՝ կազմելով 13%, գործազուրկների թիվը նվազել է 11.2%-ով, զբաղվածների թիվն</w:t>
      </w:r>
      <w:r w:rsidR="00E934AC" w:rsidRPr="000F6B0F">
        <w:rPr>
          <w:rFonts w:ascii="GHEA Grapalat" w:eastAsia="GHEA Grapalat" w:hAnsi="GHEA Grapalat" w:cs="GHEA Grapalat"/>
          <w:sz w:val="22"/>
          <w:szCs w:val="22"/>
          <w:lang w:val="hy-AM"/>
        </w:rPr>
        <w:t>՝</w:t>
      </w:r>
      <w:r w:rsidRPr="000F6B0F">
        <w:rPr>
          <w:rFonts w:ascii="GHEA Grapalat" w:eastAsia="GHEA Grapalat" w:hAnsi="GHEA Grapalat" w:cs="GHEA Grapalat"/>
          <w:sz w:val="22"/>
          <w:szCs w:val="22"/>
          <w:lang w:val="hy-AM"/>
        </w:rPr>
        <w:t xml:space="preserve"> աճել</w:t>
      </w:r>
      <w:r w:rsidR="00E934AC" w:rsidRPr="000F6B0F">
        <w:rPr>
          <w:rFonts w:ascii="GHEA Grapalat" w:eastAsia="GHEA Grapalat" w:hAnsi="GHEA Grapalat" w:cs="GHEA Grapalat"/>
          <w:sz w:val="22"/>
          <w:szCs w:val="22"/>
          <w:lang w:val="hy-AM"/>
        </w:rPr>
        <w:t xml:space="preserve"> 1</w:t>
      </w:r>
      <w:r w:rsidRPr="000F6B0F">
        <w:rPr>
          <w:rFonts w:ascii="GHEA Grapalat" w:eastAsia="GHEA Grapalat" w:hAnsi="GHEA Grapalat" w:cs="GHEA Grapalat"/>
          <w:sz w:val="22"/>
          <w:szCs w:val="22"/>
          <w:lang w:val="hy-AM"/>
        </w:rPr>
        <w:t>%-ով։ Միաժամանակ աշխատուժի առաջարկը նվազել է 0.7%-ով։</w:t>
      </w:r>
    </w:p>
    <w:p w:rsidR="00825352" w:rsidRPr="000F6B0F" w:rsidRDefault="003A11F5" w:rsidP="003A11F5">
      <w:pPr>
        <w:spacing w:line="360" w:lineRule="auto"/>
        <w:ind w:firstLine="567"/>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t xml:space="preserve">2022 թվականի ինն ամիսներին միջին ամսական անվանական աշխատավարձը նախորդ տարվա նույն ժամանակահատվածի համեմատ աճել է 13.4%-ով` կազմելով 225,436 դրամ: Աշխատավարձի աճին հիմնականում նպաստել են տեղեկատվական տեխնոլոգիաների, ֆինանսական և ապահովագրական գործունեության, ինչպես նաև մեծածախ և մանրածախ առևտրի ոլորտների աշխատավարձերի աճը։ Միջին ամսական անվանական աշխատավարձը պետական հատվածում աճել է 4.5%-ով` կազմելով 180,100 դրամ, իսկ ոչ պետականում` 16.2%-ով և կազմել է 245,305 դրամ: Իրական </w:t>
      </w:r>
      <w:r w:rsidR="00E934AC" w:rsidRPr="000F6B0F">
        <w:rPr>
          <w:rFonts w:ascii="GHEA Grapalat" w:eastAsia="GHEA Grapalat" w:hAnsi="GHEA Grapalat" w:cs="GHEA Grapalat"/>
          <w:sz w:val="22"/>
          <w:szCs w:val="22"/>
          <w:lang w:val="hy-AM"/>
        </w:rPr>
        <w:t>աշխատավարձը</w:t>
      </w:r>
      <w:r w:rsidRPr="000F6B0F">
        <w:rPr>
          <w:rFonts w:ascii="GHEA Grapalat" w:eastAsia="GHEA Grapalat" w:hAnsi="GHEA Grapalat" w:cs="GHEA Grapalat"/>
          <w:sz w:val="22"/>
          <w:szCs w:val="22"/>
          <w:lang w:val="hy-AM"/>
        </w:rPr>
        <w:t xml:space="preserve"> 8.6% գնաճի պայմաններում 2022 թվականի նույն ժամանակահատվածի համեմատ աճել է շուրջ 4.5%-ով:</w:t>
      </w:r>
    </w:p>
    <w:p w:rsidR="00934257" w:rsidRPr="000F6B0F" w:rsidRDefault="00934257" w:rsidP="00825352">
      <w:pPr>
        <w:spacing w:line="360" w:lineRule="auto"/>
        <w:ind w:firstLine="567"/>
        <w:jc w:val="both"/>
        <w:rPr>
          <w:rFonts w:ascii="GHEA Grapalat" w:eastAsia="GHEA Grapalat" w:hAnsi="GHEA Grapalat" w:cs="GHEA Grapalat"/>
          <w:sz w:val="22"/>
          <w:szCs w:val="22"/>
          <w:lang w:val="hy-AM"/>
        </w:rPr>
      </w:pPr>
    </w:p>
    <w:p w:rsidR="00563135" w:rsidRPr="00CB15FF" w:rsidRDefault="00563135" w:rsidP="00563135">
      <w:pPr>
        <w:pStyle w:val="Heading6"/>
        <w:ind w:left="567"/>
        <w:rPr>
          <w:rFonts w:ascii="GHEA Grapalat" w:hAnsi="GHEA Grapalat"/>
          <w:b/>
          <w:sz w:val="22"/>
          <w:szCs w:val="22"/>
          <w:u w:val="none"/>
        </w:rPr>
      </w:pPr>
      <w:bookmarkStart w:id="22" w:name="_Toc6389321"/>
      <w:bookmarkStart w:id="23" w:name="_Toc37763588"/>
      <w:bookmarkStart w:id="24" w:name="_Toc71311884"/>
      <w:r w:rsidRPr="00CB15FF">
        <w:rPr>
          <w:rFonts w:ascii="GHEA Grapalat" w:hAnsi="GHEA Grapalat"/>
          <w:b/>
          <w:sz w:val="22"/>
          <w:szCs w:val="22"/>
          <w:u w:val="none"/>
        </w:rPr>
        <w:t>Գնաճ</w:t>
      </w:r>
      <w:bookmarkEnd w:id="22"/>
      <w:bookmarkEnd w:id="23"/>
      <w:r w:rsidRPr="00CB15FF">
        <w:rPr>
          <w:rFonts w:ascii="GHEA Grapalat" w:hAnsi="GHEA Grapalat"/>
          <w:b/>
          <w:sz w:val="22"/>
          <w:szCs w:val="22"/>
          <w:u w:val="none"/>
        </w:rPr>
        <w:t xml:space="preserve"> և դրամավարկային քաղաքականություն</w:t>
      </w:r>
      <w:bookmarkEnd w:id="24"/>
    </w:p>
    <w:p w:rsidR="003A11F5" w:rsidRPr="000F6B0F" w:rsidRDefault="003A11F5" w:rsidP="003A11F5">
      <w:pPr>
        <w:spacing w:line="360" w:lineRule="auto"/>
        <w:ind w:firstLine="567"/>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t xml:space="preserve">2022 թվականի </w:t>
      </w:r>
      <w:r w:rsidR="00E934AC" w:rsidRPr="000F6B0F">
        <w:rPr>
          <w:rFonts w:ascii="GHEA Grapalat" w:eastAsia="GHEA Grapalat" w:hAnsi="GHEA Grapalat" w:cs="GHEA Grapalat"/>
          <w:sz w:val="22"/>
          <w:szCs w:val="22"/>
          <w:lang w:val="hy-AM"/>
        </w:rPr>
        <w:t>ինն</w:t>
      </w:r>
      <w:r w:rsidRPr="000F6B0F">
        <w:rPr>
          <w:rFonts w:ascii="GHEA Grapalat" w:eastAsia="GHEA Grapalat" w:hAnsi="GHEA Grapalat" w:cs="GHEA Grapalat"/>
          <w:sz w:val="22"/>
          <w:szCs w:val="22"/>
          <w:lang w:val="hy-AM"/>
        </w:rPr>
        <w:t xml:space="preserve"> ամիսների ընթացքում գնաճի տեմպերն արագացել են, որի պայմաններում ՀՀ ԿԲ-ն շարունակել է խստացնել դրամավարկային պայմանները՝ բարձրացնելով վերաֆինանսավորման տոկոսադրույքը: Դիտարկվող ժամանակահատվածի սկզբում դիտվել է</w:t>
      </w:r>
      <w:r w:rsidR="00E934AC" w:rsidRPr="000F6B0F">
        <w:rPr>
          <w:rFonts w:ascii="GHEA Grapalat" w:eastAsia="GHEA Grapalat" w:hAnsi="GHEA Grapalat" w:cs="GHEA Grapalat"/>
          <w:sz w:val="22"/>
          <w:szCs w:val="22"/>
          <w:lang w:val="hy-AM"/>
        </w:rPr>
        <w:t xml:space="preserve"> 12</w:t>
      </w:r>
      <w:r w:rsidR="00E934AC" w:rsidRPr="000F6B0F">
        <w:rPr>
          <w:rFonts w:ascii="GHEA Grapalat" w:eastAsia="GHEA Grapalat" w:hAnsi="GHEA Grapalat" w:cs="GHEA Grapalat"/>
          <w:sz w:val="22"/>
          <w:szCs w:val="22"/>
          <w:lang w:val="hy-AM"/>
        </w:rPr>
        <w:noBreakHyphen/>
      </w:r>
      <w:r w:rsidRPr="000F6B0F">
        <w:rPr>
          <w:rFonts w:ascii="GHEA Grapalat" w:eastAsia="GHEA Grapalat" w:hAnsi="GHEA Grapalat" w:cs="GHEA Grapalat"/>
          <w:sz w:val="22"/>
          <w:szCs w:val="22"/>
          <w:lang w:val="hy-AM"/>
        </w:rPr>
        <w:t xml:space="preserve">ամսյա գնաճի տեմպերի դանդաղման գործընթաց, մինչդեռ մարտ ամսից սկսած, պայմանավորված նախ ռուս-ուկրաինական հակամարտության սրման արդյունքում միջազգային ապրանքահումքային շուկաներում դիտված գների կտրուկ աճով և ՀՀ դրամի փոխարժեքի կարճատև արժեզրկմամբ, ապա՝ համախառն պահանջարկի զգալի աճով (այդ թվում՝ օտարերկյա այցելուների </w:t>
      </w:r>
      <w:r w:rsidRPr="000F6B0F">
        <w:rPr>
          <w:rFonts w:ascii="GHEA Grapalat" w:eastAsia="GHEA Grapalat" w:hAnsi="GHEA Grapalat" w:cs="GHEA Grapalat"/>
          <w:sz w:val="22"/>
          <w:szCs w:val="22"/>
          <w:lang w:val="hy-AM"/>
        </w:rPr>
        <w:lastRenderedPageBreak/>
        <w:t>կտրուկ ավելացմամբ պայմանավորված)</w:t>
      </w:r>
      <w:r w:rsidR="00E934AC" w:rsidRPr="000F6B0F">
        <w:rPr>
          <w:rFonts w:ascii="GHEA Grapalat" w:eastAsia="GHEA Grapalat" w:hAnsi="GHEA Grapalat" w:cs="GHEA Grapalat"/>
          <w:sz w:val="22"/>
          <w:szCs w:val="22"/>
          <w:lang w:val="hy-AM"/>
        </w:rPr>
        <w:t>, 12-</w:t>
      </w:r>
      <w:r w:rsidRPr="000F6B0F">
        <w:rPr>
          <w:rFonts w:ascii="GHEA Grapalat" w:eastAsia="GHEA Grapalat" w:hAnsi="GHEA Grapalat" w:cs="GHEA Grapalat"/>
          <w:sz w:val="22"/>
          <w:szCs w:val="22"/>
          <w:lang w:val="hy-AM"/>
        </w:rPr>
        <w:t xml:space="preserve">ամսյա գնաճը զգալիորեն արագացել է՝ սեպտեմբերին կազմելով 9.9%, իսկ միջին գնաճն </w:t>
      </w:r>
      <w:r w:rsidR="00E934AC" w:rsidRPr="000F6B0F">
        <w:rPr>
          <w:rFonts w:ascii="GHEA Grapalat" w:eastAsia="GHEA Grapalat" w:hAnsi="GHEA Grapalat" w:cs="GHEA Grapalat"/>
          <w:sz w:val="22"/>
          <w:szCs w:val="22"/>
          <w:lang w:val="hy-AM"/>
        </w:rPr>
        <w:t>ինն</w:t>
      </w:r>
      <w:r w:rsidRPr="000F6B0F">
        <w:rPr>
          <w:rFonts w:ascii="GHEA Grapalat" w:eastAsia="GHEA Grapalat" w:hAnsi="GHEA Grapalat" w:cs="GHEA Grapalat"/>
          <w:sz w:val="22"/>
          <w:szCs w:val="22"/>
          <w:lang w:val="hy-AM"/>
        </w:rPr>
        <w:t xml:space="preserve"> ամիսներին՝ 8.6%: Գնաճի տեմպերի լրացուցիչ արագացումը որոշակիորեն զսպվել է ՀՀ դրամի փոխարժեքի արժևորմամբ, որի ազդեցությունն աստիճանաբար արտացոլվել է ներմուծվող ապրանքների գներում։</w:t>
      </w:r>
    </w:p>
    <w:p w:rsidR="003A11F5" w:rsidRPr="000F6B0F" w:rsidRDefault="003A11F5" w:rsidP="003A11F5">
      <w:pPr>
        <w:spacing w:line="360" w:lineRule="auto"/>
        <w:ind w:firstLine="567"/>
        <w:jc w:val="both"/>
        <w:rPr>
          <w:rFonts w:ascii="GHEA Grapalat" w:eastAsia="GHEA Grapalat" w:hAnsi="GHEA Grapalat" w:cs="GHEA Grapalat"/>
          <w:sz w:val="22"/>
          <w:szCs w:val="22"/>
          <w:lang w:val="hy-AM"/>
        </w:rPr>
      </w:pPr>
    </w:p>
    <w:p w:rsidR="003A11F5" w:rsidRPr="00CB15FF" w:rsidRDefault="003A11F5" w:rsidP="00E934AC">
      <w:pPr>
        <w:pStyle w:val="a"/>
      </w:pPr>
      <w:r w:rsidRPr="00CB15FF">
        <w:t>2022 թվականի հունվար-սեպտեմբեր ամիսների գնաճի նպաստումները խոշոր ապրանքախմբերով, տոկոսային կետ</w:t>
      </w:r>
      <w:r w:rsidRPr="00CB15FF">
        <w:rPr>
          <w:vertAlign w:val="superscript"/>
        </w:rPr>
        <w:footnoteReference w:id="12"/>
      </w:r>
    </w:p>
    <w:p w:rsidR="003A11F5" w:rsidRPr="00CB15FF" w:rsidRDefault="003A11F5" w:rsidP="003A11F5">
      <w:pPr>
        <w:spacing w:after="120"/>
        <w:rPr>
          <w:rFonts w:ascii="GHEA Grapalat" w:hAnsi="GHEA Grapalat" w:cs="Sylfaen"/>
          <w:b/>
          <w:sz w:val="22"/>
          <w:szCs w:val="22"/>
          <w:lang w:eastAsia="x-none"/>
        </w:rPr>
      </w:pPr>
      <w:r w:rsidRPr="00CB15FF">
        <w:rPr>
          <w:rFonts w:ascii="GHEA Grapalat" w:hAnsi="GHEA Grapalat" w:cs="Sylfaen"/>
          <w:b/>
          <w:noProof/>
          <w:szCs w:val="22"/>
        </w:rPr>
        <w:drawing>
          <wp:inline distT="0" distB="0" distL="0" distR="0" wp14:anchorId="698BF22A" wp14:editId="38D617B7">
            <wp:extent cx="3171825" cy="22764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B15FF">
        <w:rPr>
          <w:rFonts w:ascii="GHEA Grapalat" w:hAnsi="GHEA Grapalat" w:cs="Sylfaen"/>
          <w:b/>
          <w:noProof/>
          <w:szCs w:val="22"/>
        </w:rPr>
        <w:drawing>
          <wp:inline distT="0" distB="0" distL="0" distR="0" wp14:anchorId="085894E3" wp14:editId="49546DEE">
            <wp:extent cx="3171825" cy="22764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B15FF">
        <w:rPr>
          <w:rFonts w:ascii="GHEA Grapalat" w:hAnsi="GHEA Grapalat" w:cs="Sylfaen"/>
          <w:b/>
          <w:noProof/>
          <w:szCs w:val="22"/>
        </w:rPr>
        <w:drawing>
          <wp:inline distT="0" distB="0" distL="0" distR="0" wp14:anchorId="470A1668" wp14:editId="690A708A">
            <wp:extent cx="6362700" cy="5810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11F5" w:rsidRPr="00CB15FF" w:rsidRDefault="003A11F5" w:rsidP="003A11F5">
      <w:pPr>
        <w:spacing w:line="360" w:lineRule="auto"/>
        <w:ind w:firstLine="567"/>
        <w:jc w:val="both"/>
        <w:rPr>
          <w:rFonts w:ascii="GHEA Grapalat" w:hAnsi="GHEA Grapalat" w:cs="GHEA Grapalat"/>
          <w:sz w:val="22"/>
          <w:szCs w:val="22"/>
        </w:rPr>
      </w:pPr>
    </w:p>
    <w:p w:rsidR="003A11F5" w:rsidRPr="00CB15FF" w:rsidRDefault="003A11F5" w:rsidP="003A11F5">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Միջին գնաճին առավելապես նպաստել է «Սննդամթերք և ոչ ալկոհոլային խմիչքներ» ապրանքախմբում արձանագրված 13.6% գների աճը (նպաստումը գնաճին` 5.1 տոկոսային կետ)՝ հիմնականում պայմանավորված առաջին անհրաժեշտության պարենային ապրանքների (բանջարեղեն, հացաբուլկեղեն և ձավարեղեն, մի</w:t>
      </w:r>
      <w:r w:rsidR="00E934AC" w:rsidRPr="00CB15FF">
        <w:rPr>
          <w:rFonts w:ascii="GHEA Grapalat" w:hAnsi="GHEA Grapalat" w:cs="GHEA Grapalat"/>
          <w:sz w:val="22"/>
          <w:szCs w:val="22"/>
        </w:rPr>
        <w:t>ս, կաթնամթերք և այլն) գների աճ</w:t>
      </w:r>
      <w:r w:rsidRPr="00CB15FF">
        <w:rPr>
          <w:rFonts w:ascii="GHEA Grapalat" w:hAnsi="GHEA Grapalat" w:cs="GHEA Grapalat"/>
          <w:sz w:val="22"/>
          <w:szCs w:val="22"/>
        </w:rPr>
        <w:t xml:space="preserve">ով: «Ալկոհոլային խմիչքներ, ծխախոտային արտադրատեսակներ» խմբում արձանագրվել է 8% գնաճ (նպաստումը գնաճին` 0.4 տոկոսային կետ), իսկ «Ոչ պարենային ապրանքների» խմբում արձանագրվել է 6.8% գնաճ (նպաստումը գնաճին` 1.4 տոկոսային կետ), ինչը հիմնականում պայմանավորված է էլեկտրաէներգիայի և վառելիքի գների աճով։ Բնակչությանը մատուցված ծառայությունների գծով արձանագրվել է 4.5% գնաճ (նպաստումը գնաճին` 1.6 տոկոսային կետ), ինչը հիմնականում պայմանավորված է եղել տրանսպորտի, բնակարանների վարձավճարների, հանգստի կազմակերպման, ինչպես նաև առողջապահական սակագների աճերով։ </w:t>
      </w:r>
    </w:p>
    <w:p w:rsidR="003A11F5" w:rsidRPr="00CB15FF" w:rsidRDefault="003A11F5" w:rsidP="003A11F5">
      <w:pPr>
        <w:spacing w:after="240"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lastRenderedPageBreak/>
        <w:t xml:space="preserve">2022 թվականի հունվար-սեպտեմբեր ամիսներին, նախ հաշվի առնելով միջազգային պարենային շուկաներում գնաճային զարգացումները, ապա՝ տնտեսությունում պահանջարկի և </w:t>
      </w:r>
      <w:r w:rsidR="00E934AC" w:rsidRPr="00CB15FF">
        <w:rPr>
          <w:rFonts w:ascii="GHEA Grapalat" w:hAnsi="GHEA Grapalat" w:cs="GHEA Grapalat"/>
          <w:sz w:val="22"/>
          <w:szCs w:val="22"/>
        </w:rPr>
        <w:t>հատկապես</w:t>
      </w:r>
      <w:r w:rsidRPr="00CB15FF">
        <w:rPr>
          <w:rFonts w:ascii="GHEA Grapalat" w:hAnsi="GHEA Grapalat" w:cs="GHEA Grapalat"/>
          <w:sz w:val="22"/>
          <w:szCs w:val="22"/>
        </w:rPr>
        <w:t xml:space="preserve"> ծառայությունների նկատմամբ արտաքին պահանջարկի բարձր աճը, ՀՀ ԿԲ-ն բարձրացրել է վերաֆինանսավորման տոկոսադրույք</w:t>
      </w:r>
      <w:r w:rsidR="00E934AC" w:rsidRPr="00CB15FF">
        <w:rPr>
          <w:rFonts w:ascii="GHEA Grapalat" w:hAnsi="GHEA Grapalat" w:cs="GHEA Grapalat"/>
          <w:sz w:val="22"/>
          <w:szCs w:val="22"/>
        </w:rPr>
        <w:t>ն</w:t>
      </w:r>
      <w:r w:rsidRPr="00CB15FF">
        <w:rPr>
          <w:rFonts w:ascii="GHEA Grapalat" w:hAnsi="GHEA Grapalat" w:cs="GHEA Grapalat"/>
          <w:sz w:val="22"/>
          <w:szCs w:val="22"/>
        </w:rPr>
        <w:t xml:space="preserve"> ընդհանուր առմամբ 2.25 տոկո</w:t>
      </w:r>
      <w:r w:rsidR="00E934AC" w:rsidRPr="00CB15FF">
        <w:rPr>
          <w:rFonts w:ascii="GHEA Grapalat" w:hAnsi="GHEA Grapalat" w:cs="GHEA Grapalat"/>
          <w:sz w:val="22"/>
          <w:szCs w:val="22"/>
        </w:rPr>
        <w:t>սային կետով՝ սահմանելով այն 10</w:t>
      </w:r>
      <w:r w:rsidRPr="00CB15FF">
        <w:rPr>
          <w:rFonts w:ascii="GHEA Grapalat" w:hAnsi="GHEA Grapalat" w:cs="GHEA Grapalat"/>
          <w:sz w:val="22"/>
          <w:szCs w:val="22"/>
        </w:rPr>
        <w:t>%: Այնուամենայնիվ, դրա ազդեցության ներքո ֆինանսական շուկաներում վարկերի և ավանդների տոկոսադրույքներ</w:t>
      </w:r>
      <w:r w:rsidR="00E934AC" w:rsidRPr="00CB15FF">
        <w:rPr>
          <w:rFonts w:ascii="GHEA Grapalat" w:hAnsi="GHEA Grapalat" w:cs="GHEA Grapalat"/>
          <w:sz w:val="22"/>
          <w:szCs w:val="22"/>
        </w:rPr>
        <w:t>ն</w:t>
      </w:r>
      <w:r w:rsidRPr="00CB15FF">
        <w:rPr>
          <w:rFonts w:ascii="GHEA Grapalat" w:hAnsi="GHEA Grapalat" w:cs="GHEA Grapalat"/>
          <w:sz w:val="22"/>
          <w:szCs w:val="22"/>
        </w:rPr>
        <w:t xml:space="preserve"> անհամաչափորեն են ճշգրտվել միջբանկային ռեպո և կարճաժամկետ պետական պարտատոմսերի շուկաների համեմատ, որոնք ավելի զգայուն են եղել դրամավարկային քաղաքականության տոկոսադրույքների նկատմամբ։ Ավելին, ավանդների տոկոսադրույքներ</w:t>
      </w:r>
      <w:r w:rsidR="00E934AC" w:rsidRPr="00CB15FF">
        <w:rPr>
          <w:rFonts w:ascii="GHEA Grapalat" w:hAnsi="GHEA Grapalat" w:cs="GHEA Grapalat"/>
          <w:sz w:val="22"/>
          <w:szCs w:val="22"/>
        </w:rPr>
        <w:t>ն</w:t>
      </w:r>
      <w:r w:rsidRPr="00CB15FF">
        <w:rPr>
          <w:rFonts w:ascii="GHEA Grapalat" w:hAnsi="GHEA Grapalat" w:cs="GHEA Grapalat"/>
          <w:sz w:val="22"/>
          <w:szCs w:val="22"/>
        </w:rPr>
        <w:t xml:space="preserve"> անգամ նվազման միտումներ են ունեցել՝ պայմանավորված դեպի բանկային համակարգ ֆինանսական էական հոսքերով</w:t>
      </w:r>
      <w:r w:rsidR="00AA1BA3" w:rsidRPr="00CB15FF">
        <w:rPr>
          <w:rFonts w:ascii="GHEA Grapalat" w:hAnsi="GHEA Grapalat" w:cs="GHEA Grapalat"/>
          <w:sz w:val="22"/>
          <w:szCs w:val="22"/>
        </w:rPr>
        <w:t xml:space="preserve"> </w:t>
      </w:r>
      <w:r w:rsidRPr="00CB15FF">
        <w:rPr>
          <w:rFonts w:ascii="GHEA Grapalat" w:hAnsi="GHEA Grapalat" w:cs="GHEA Grapalat"/>
          <w:sz w:val="22"/>
          <w:szCs w:val="22"/>
        </w:rPr>
        <w:t xml:space="preserve">(գծապատկեր </w:t>
      </w:r>
      <w:proofErr w:type="gramStart"/>
      <w:r w:rsidRPr="00CB15FF">
        <w:rPr>
          <w:rFonts w:ascii="GHEA Grapalat" w:hAnsi="GHEA Grapalat" w:cs="GHEA Grapalat"/>
          <w:sz w:val="22"/>
          <w:szCs w:val="22"/>
        </w:rPr>
        <w:t>6)։</w:t>
      </w:r>
      <w:proofErr w:type="gramEnd"/>
      <w:r w:rsidRPr="00CB15FF">
        <w:rPr>
          <w:rFonts w:ascii="GHEA Grapalat" w:hAnsi="GHEA Grapalat" w:cs="GHEA Grapalat"/>
          <w:sz w:val="22"/>
          <w:szCs w:val="22"/>
        </w:rPr>
        <w:t xml:space="preserve"> </w:t>
      </w:r>
    </w:p>
    <w:p w:rsidR="003A11F5" w:rsidRPr="00CB15FF" w:rsidRDefault="003A11F5" w:rsidP="00E934AC">
      <w:pPr>
        <w:pStyle w:val="a"/>
        <w:ind w:left="0" w:firstLine="0"/>
      </w:pPr>
      <w:r w:rsidRPr="00CB15FF">
        <w:t>ՀՀ դրամով տոկոսադրույքների միտումները ՀՀ ֆինանսական շուկաներում, %</w:t>
      </w:r>
      <w:r w:rsidRPr="00CB15FF">
        <w:rPr>
          <w:vertAlign w:val="superscript"/>
        </w:rPr>
        <w:footnoteReference w:id="13"/>
      </w:r>
    </w:p>
    <w:p w:rsidR="003A11F5" w:rsidRPr="00CB15FF" w:rsidRDefault="003A11F5" w:rsidP="00E934AC">
      <w:pPr>
        <w:spacing w:after="240" w:line="360" w:lineRule="auto"/>
        <w:jc w:val="center"/>
        <w:rPr>
          <w:rFonts w:ascii="GHEA Grapalat" w:hAnsi="GHEA Grapalat" w:cs="GHEA Grapalat"/>
          <w:sz w:val="22"/>
          <w:szCs w:val="22"/>
        </w:rPr>
      </w:pPr>
      <w:r w:rsidRPr="00CB15FF">
        <w:rPr>
          <w:rFonts w:ascii="GHEA Grapalat" w:hAnsi="GHEA Grapalat" w:cs="GHEA Grapalat"/>
          <w:noProof/>
          <w:sz w:val="22"/>
          <w:szCs w:val="22"/>
        </w:rPr>
        <w:drawing>
          <wp:inline distT="0" distB="0" distL="0" distR="0" wp14:anchorId="508C5964" wp14:editId="334E2373">
            <wp:extent cx="5880538" cy="26860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5352" w:rsidRPr="00CB15FF" w:rsidRDefault="00825352" w:rsidP="00825352">
      <w:pPr>
        <w:spacing w:line="360" w:lineRule="auto"/>
        <w:ind w:firstLine="567"/>
        <w:jc w:val="both"/>
        <w:rPr>
          <w:rFonts w:ascii="GHEA Grapalat" w:hAnsi="GHEA Grapalat" w:cs="GHEA Grapalat"/>
          <w:sz w:val="22"/>
          <w:szCs w:val="22"/>
          <w:lang w:val="hy-AM"/>
        </w:rPr>
      </w:pPr>
    </w:p>
    <w:p w:rsidR="00563135" w:rsidRPr="000F6B0F" w:rsidRDefault="00563135" w:rsidP="00563135">
      <w:pPr>
        <w:pStyle w:val="Heading6"/>
        <w:ind w:left="567"/>
        <w:rPr>
          <w:rFonts w:ascii="GHEA Grapalat" w:hAnsi="GHEA Grapalat"/>
          <w:b/>
          <w:sz w:val="22"/>
          <w:szCs w:val="22"/>
          <w:u w:val="none"/>
        </w:rPr>
      </w:pPr>
      <w:bookmarkStart w:id="25" w:name="_Toc71311885"/>
      <w:r w:rsidRPr="00CB15FF">
        <w:rPr>
          <w:rFonts w:ascii="GHEA Grapalat" w:hAnsi="GHEA Grapalat"/>
          <w:b/>
          <w:sz w:val="22"/>
          <w:szCs w:val="22"/>
          <w:u w:val="none"/>
        </w:rPr>
        <w:t>Արտաքին առևտուր</w:t>
      </w:r>
      <w:bookmarkEnd w:id="25"/>
      <w:r w:rsidR="00180A83" w:rsidRPr="000F6B0F">
        <w:rPr>
          <w:rFonts w:ascii="GHEA Grapalat" w:hAnsi="GHEA Grapalat"/>
          <w:b/>
          <w:sz w:val="22"/>
          <w:szCs w:val="22"/>
          <w:u w:val="none"/>
        </w:rPr>
        <w:t xml:space="preserve"> և դրամական փոխանցումներ</w:t>
      </w:r>
    </w:p>
    <w:p w:rsidR="00181B1E" w:rsidRPr="000F6B0F" w:rsidRDefault="00825352" w:rsidP="00181B1E">
      <w:pPr>
        <w:spacing w:line="360" w:lineRule="auto"/>
        <w:ind w:firstLine="567"/>
        <w:jc w:val="both"/>
        <w:rPr>
          <w:rFonts w:ascii="GHEA Grapalat" w:hAnsi="GHEA Grapalat" w:cs="GHEA Grapalat"/>
          <w:sz w:val="22"/>
          <w:szCs w:val="22"/>
          <w:lang w:val="hy-AM"/>
        </w:rPr>
      </w:pPr>
      <w:r w:rsidRPr="000F6B0F">
        <w:rPr>
          <w:rFonts w:ascii="GHEA Grapalat" w:hAnsi="GHEA Grapalat" w:cs="GHEA Grapalat"/>
          <w:b/>
          <w:i/>
          <w:sz w:val="22"/>
          <w:szCs w:val="22"/>
          <w:lang w:val="hy-AM"/>
        </w:rPr>
        <w:t>Արտաքին առևտուր (դոլարային արտահայտությամբ)</w:t>
      </w:r>
      <w:r w:rsidRPr="00CB15FF">
        <w:rPr>
          <w:rFonts w:ascii="GHEA Grapalat" w:hAnsi="GHEA Grapalat" w:cs="GHEA Grapalat"/>
          <w:b/>
          <w:i/>
          <w:sz w:val="22"/>
          <w:szCs w:val="22"/>
          <w:vertAlign w:val="superscript"/>
        </w:rPr>
        <w:footnoteReference w:id="14"/>
      </w:r>
      <w:r w:rsidRPr="000F6B0F">
        <w:rPr>
          <w:rFonts w:ascii="GHEA Grapalat" w:hAnsi="GHEA Grapalat" w:cs="GHEA Grapalat"/>
          <w:b/>
          <w:i/>
          <w:sz w:val="22"/>
          <w:szCs w:val="22"/>
          <w:lang w:val="hy-AM"/>
        </w:rPr>
        <w:t>:</w:t>
      </w:r>
      <w:r w:rsidR="00181B1E" w:rsidRPr="000F6B0F">
        <w:rPr>
          <w:rFonts w:ascii="GHEA Grapalat" w:eastAsia="GHEA Grapalat" w:hAnsi="GHEA Grapalat" w:cs="GHEA Grapalat"/>
          <w:b/>
          <w:sz w:val="22"/>
          <w:szCs w:val="22"/>
          <w:lang w:val="hy-AM"/>
        </w:rPr>
        <w:t xml:space="preserve"> </w:t>
      </w:r>
      <w:r w:rsidR="00181B1E" w:rsidRPr="000F6B0F">
        <w:rPr>
          <w:rFonts w:ascii="GHEA Grapalat" w:hAnsi="GHEA Grapalat" w:cs="GHEA Grapalat"/>
          <w:sz w:val="22"/>
          <w:szCs w:val="22"/>
          <w:lang w:val="hy-AM"/>
        </w:rPr>
        <w:t>2022 թվականի հունվար-սեպտեմբեր ամիսներին տնտեսական ակտիվության ու պահանջարկի բարձր աճի և արտաքին որոշ շուկաներում ՀՀ ապրանքների նկատմամբ պահանջարկի ավելացման պայմաններում գրանցվել է արտաքին ապրանքաշրջանառության բարձր երկնիշ աճ։ Արտաքին ապրանքաշրջանառությունը 2022 թվականի ինն ամիսներին կազմել է 9306.6 մլն ԱՄՆ դոլար` նախորդ տարվա համեմատ աճելով 62.5%-ով: Ընդ որում՝ արտահանումն աճել է 63.8%</w:t>
      </w:r>
      <w:r w:rsidR="00181B1E" w:rsidRPr="000F6B0F">
        <w:rPr>
          <w:rFonts w:ascii="GHEA Grapalat" w:hAnsi="GHEA Grapalat" w:cs="GHEA Grapalat"/>
          <w:sz w:val="22"/>
          <w:szCs w:val="22"/>
          <w:lang w:val="hy-AM"/>
        </w:rPr>
        <w:noBreakHyphen/>
        <w:t xml:space="preserve">ով` կազմելով 3509.4 մլն ԱՄՆ դոլար, իսկ ներմուծումը` 61.6%-ով </w:t>
      </w:r>
      <w:r w:rsidR="00181B1E" w:rsidRPr="000F6B0F">
        <w:rPr>
          <w:rFonts w:ascii="GHEA Grapalat" w:hAnsi="GHEA Grapalat" w:cs="GHEA Grapalat"/>
          <w:sz w:val="22"/>
          <w:szCs w:val="22"/>
          <w:lang w:val="hy-AM"/>
        </w:rPr>
        <w:lastRenderedPageBreak/>
        <w:t>և կազմել 5797.2 մլն ԱՄՆ դոլար: Չնայած տարեսկզբից արձանագրված արտաքին առևտրի աճի բարձր տեմպերը ռուս-ուկրաինական հակամարտության և</w:t>
      </w:r>
      <w:r w:rsidR="00A8682C" w:rsidRPr="000F6B0F">
        <w:rPr>
          <w:rFonts w:ascii="GHEA Grapalat" w:hAnsi="GHEA Grapalat" w:cs="GHEA Grapalat"/>
          <w:sz w:val="22"/>
          <w:szCs w:val="22"/>
          <w:lang w:val="hy-AM"/>
        </w:rPr>
        <w:t xml:space="preserve"> </w:t>
      </w:r>
      <w:r w:rsidR="00360A9D" w:rsidRPr="000F6B0F">
        <w:rPr>
          <w:rFonts w:ascii="GHEA Grapalat" w:hAnsi="GHEA Grapalat" w:cs="GHEA Grapalat"/>
          <w:sz w:val="22"/>
          <w:szCs w:val="22"/>
          <w:lang w:val="hy-AM"/>
        </w:rPr>
        <w:t xml:space="preserve">ՌԴ </w:t>
      </w:r>
      <w:r w:rsidR="00181B1E" w:rsidRPr="000F6B0F">
        <w:rPr>
          <w:rFonts w:ascii="GHEA Grapalat" w:hAnsi="GHEA Grapalat" w:cs="GHEA Grapalat"/>
          <w:sz w:val="22"/>
          <w:szCs w:val="22"/>
          <w:lang w:val="hy-AM"/>
        </w:rPr>
        <w:t>նկատմամբ կիրառվող աննախադեպ պատժամիջոցների բացասական ազդեցություններով պայմանավորված</w:t>
      </w:r>
      <w:r w:rsidR="003A739E" w:rsidRPr="000F6B0F">
        <w:rPr>
          <w:rFonts w:ascii="GHEA Grapalat" w:hAnsi="GHEA Grapalat" w:cs="GHEA Grapalat"/>
          <w:sz w:val="22"/>
          <w:szCs w:val="22"/>
          <w:lang w:val="hy-AM"/>
        </w:rPr>
        <w:t>՝</w:t>
      </w:r>
      <w:r w:rsidR="00181B1E" w:rsidRPr="000F6B0F">
        <w:rPr>
          <w:rFonts w:ascii="GHEA Grapalat" w:hAnsi="GHEA Grapalat" w:cs="GHEA Grapalat"/>
          <w:sz w:val="22"/>
          <w:szCs w:val="22"/>
          <w:lang w:val="hy-AM"/>
        </w:rPr>
        <w:t xml:space="preserve"> մարտ ամսին դանդաղեցին, սակայն ապրիլ ամսից սկսած այն արագացավ, ինչին զգալի դրական նպաստում ունեցավ դեպի ՌԴ արտահանման աննախադեպ բարձր աճը (մայիս-սեպտեմբեր ամիսներին արտահանումը դեպի ՌԴ նախորդ տարվա համապատասխան ժամանակահատվածի</w:t>
      </w:r>
      <w:r w:rsidR="003A739E" w:rsidRPr="000F6B0F">
        <w:rPr>
          <w:rFonts w:ascii="GHEA Grapalat" w:hAnsi="GHEA Grapalat" w:cs="GHEA Grapalat"/>
          <w:sz w:val="22"/>
          <w:szCs w:val="22"/>
          <w:lang w:val="hy-AM"/>
        </w:rPr>
        <w:t xml:space="preserve"> համեմատ աճել է շուրջ 3 անգամ)։</w:t>
      </w:r>
    </w:p>
    <w:p w:rsidR="00825352" w:rsidRPr="000F6B0F" w:rsidRDefault="00181B1E" w:rsidP="00181B1E">
      <w:pPr>
        <w:spacing w:line="360" w:lineRule="auto"/>
        <w:ind w:firstLine="567"/>
        <w:jc w:val="both"/>
        <w:rPr>
          <w:rFonts w:ascii="GHEA Grapalat" w:hAnsi="GHEA Grapalat" w:cs="GHEA Grapalat"/>
          <w:sz w:val="22"/>
          <w:szCs w:val="22"/>
          <w:lang w:val="hy-AM"/>
        </w:rPr>
      </w:pPr>
      <w:r w:rsidRPr="000F6B0F">
        <w:rPr>
          <w:rFonts w:ascii="GHEA Grapalat" w:hAnsi="GHEA Grapalat" w:cs="GHEA Grapalat"/>
          <w:sz w:val="22"/>
          <w:szCs w:val="22"/>
          <w:lang w:val="hy-AM"/>
        </w:rPr>
        <w:t>Արտահանման համեմատ ներմուծման մեծ ծավալներով պայմանավորված` ընթացիկ տարվա ինն ամիսներին ապրանքների գծով արտաքին առևտրի բացասական մնացորդը նախո</w:t>
      </w:r>
      <w:r w:rsidR="00BB2D48" w:rsidRPr="000F6B0F">
        <w:rPr>
          <w:rFonts w:ascii="GHEA Grapalat" w:hAnsi="GHEA Grapalat" w:cs="GHEA Grapalat"/>
          <w:sz w:val="22"/>
          <w:szCs w:val="22"/>
          <w:lang w:val="hy-AM"/>
        </w:rPr>
        <w:t>րդ տարվա նկատմամբ խորացել է 58.4</w:t>
      </w:r>
      <w:r w:rsidRPr="000F6B0F">
        <w:rPr>
          <w:rFonts w:ascii="GHEA Grapalat" w:hAnsi="GHEA Grapalat" w:cs="GHEA Grapalat"/>
          <w:sz w:val="22"/>
          <w:szCs w:val="22"/>
          <w:lang w:val="hy-AM"/>
        </w:rPr>
        <w:t>%-ով և կազմել 2287.8 մլն ԱՄՆ դոլար:</w:t>
      </w:r>
    </w:p>
    <w:p w:rsidR="00EE5ED2" w:rsidRPr="000F6B0F" w:rsidRDefault="00EE5ED2" w:rsidP="00181B1E">
      <w:pPr>
        <w:spacing w:line="360" w:lineRule="auto"/>
        <w:ind w:firstLine="567"/>
        <w:jc w:val="both"/>
        <w:rPr>
          <w:rFonts w:ascii="GHEA Grapalat" w:hAnsi="GHEA Grapalat" w:cs="GHEA Grapalat"/>
          <w:sz w:val="22"/>
          <w:szCs w:val="22"/>
          <w:lang w:val="hy-AM"/>
        </w:rPr>
      </w:pPr>
    </w:p>
    <w:p w:rsidR="00825352" w:rsidRPr="00CB15FF" w:rsidRDefault="00825352" w:rsidP="00594346">
      <w:pPr>
        <w:pStyle w:val="a"/>
        <w:ind w:left="0" w:firstLine="0"/>
      </w:pPr>
      <w:r w:rsidRPr="00CB15FF">
        <w:t>Առևտրային հաշվեկշռի դինամիկան հունվար-</w:t>
      </w:r>
      <w:r w:rsidR="002439B6" w:rsidRPr="000F6B0F">
        <w:t>սեպտեմբեր</w:t>
      </w:r>
      <w:r w:rsidRPr="00CB15FF">
        <w:t xml:space="preserve"> ամիսներին (մլն ԱՄՆ դոլար)</w:t>
      </w:r>
      <w:r w:rsidRPr="00CB15FF">
        <w:rPr>
          <w:vertAlign w:val="superscript"/>
        </w:rPr>
        <w:footnoteReference w:id="15"/>
      </w:r>
    </w:p>
    <w:p w:rsidR="002439B6" w:rsidRPr="00CB15FF" w:rsidRDefault="002439B6" w:rsidP="002439B6">
      <w:pPr>
        <w:spacing w:line="360" w:lineRule="auto"/>
        <w:jc w:val="center"/>
        <w:rPr>
          <w:rFonts w:ascii="GHEA Grapalat" w:eastAsia="GHEA Grapalat" w:hAnsi="GHEA Grapalat" w:cs="GHEA Grapalat"/>
          <w:sz w:val="22"/>
          <w:szCs w:val="22"/>
        </w:rPr>
      </w:pPr>
      <w:r w:rsidRPr="00CB15FF">
        <w:rPr>
          <w:rFonts w:ascii="GHEA Grapalat" w:hAnsi="GHEA Grapalat" w:cs="Sylfaen"/>
          <w:noProof/>
          <w:sz w:val="22"/>
          <w:szCs w:val="22"/>
        </w:rPr>
        <w:drawing>
          <wp:inline distT="0" distB="0" distL="0" distR="0" wp14:anchorId="57B2CF9D" wp14:editId="01D395E7">
            <wp:extent cx="6201294" cy="2360815"/>
            <wp:effectExtent l="0" t="0" r="0" b="190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39B6" w:rsidRPr="00CB15FF" w:rsidRDefault="002439B6" w:rsidP="002439B6">
      <w:pPr>
        <w:spacing w:line="360" w:lineRule="auto"/>
        <w:ind w:firstLine="567"/>
        <w:jc w:val="both"/>
        <w:rPr>
          <w:rFonts w:ascii="GHEA Grapalat" w:hAnsi="GHEA Grapalat" w:cs="GHEA Grapalat"/>
          <w:sz w:val="22"/>
          <w:szCs w:val="22"/>
        </w:rPr>
      </w:pPr>
    </w:p>
    <w:p w:rsidR="002439B6" w:rsidRPr="00CB15FF" w:rsidRDefault="00825352" w:rsidP="00583AC3">
      <w:pPr>
        <w:spacing w:line="360" w:lineRule="auto"/>
        <w:ind w:firstLine="720"/>
        <w:jc w:val="both"/>
        <w:rPr>
          <w:rFonts w:ascii="GHEA Grapalat" w:hAnsi="GHEA Grapalat" w:cs="GHEA Grapalat"/>
          <w:sz w:val="22"/>
          <w:szCs w:val="22"/>
        </w:rPr>
      </w:pPr>
      <w:r w:rsidRPr="00CB15FF">
        <w:rPr>
          <w:rFonts w:ascii="GHEA Grapalat" w:hAnsi="GHEA Grapalat" w:cs="GHEA Grapalat"/>
          <w:b/>
          <w:i/>
          <w:sz w:val="22"/>
          <w:szCs w:val="22"/>
          <w:lang w:val="hy-AM"/>
        </w:rPr>
        <w:t>Արտահանում:</w:t>
      </w:r>
      <w:r w:rsidRPr="00CB15FF">
        <w:rPr>
          <w:rFonts w:ascii="GHEA Grapalat" w:hAnsi="GHEA Grapalat" w:cs="GHEA Grapalat"/>
          <w:sz w:val="22"/>
          <w:szCs w:val="22"/>
          <w:lang w:val="hy-AM"/>
        </w:rPr>
        <w:t xml:space="preserve"> </w:t>
      </w:r>
      <w:r w:rsidR="002439B6" w:rsidRPr="00CB15FF">
        <w:rPr>
          <w:rFonts w:ascii="GHEA Grapalat" w:hAnsi="GHEA Grapalat" w:cs="GHEA Grapalat"/>
          <w:sz w:val="22"/>
          <w:szCs w:val="22"/>
        </w:rPr>
        <w:t>Ապրանքների արտահանումը 2022 թվականի հունվար-սեպտեմբեր ամիսներին աճել</w:t>
      </w:r>
      <w:r w:rsidR="00AA1BA3"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է 63.</w:t>
      </w:r>
      <w:r w:rsidR="003A739E" w:rsidRPr="00CB15FF">
        <w:rPr>
          <w:rFonts w:ascii="GHEA Grapalat" w:hAnsi="GHEA Grapalat" w:cs="GHEA Grapalat"/>
          <w:sz w:val="22"/>
          <w:szCs w:val="22"/>
        </w:rPr>
        <w:t>8%-ով՝</w:t>
      </w:r>
      <w:r w:rsidR="002439B6" w:rsidRPr="00CB15FF">
        <w:rPr>
          <w:rFonts w:ascii="GHEA Grapalat" w:hAnsi="GHEA Grapalat" w:cs="GHEA Grapalat"/>
          <w:sz w:val="22"/>
          <w:szCs w:val="22"/>
        </w:rPr>
        <w:t xml:space="preserve"> պայմանավորված արտաքին որոշ շուկաներում (հատկապես՝ ՌԴ-ում) ՀՀ ապրանքների նկատմամբ պահանջարկի աճով, ՌԴ-ում ՀՀ ապրանքների գնային մրցունակության ավելացմամբ, ինչպես նաև արտահանման ներուժի ավելացմամբ։</w:t>
      </w:r>
      <w:r w:rsidR="00AA1BA3"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Ռուս-ուկրաինական հակամարտության և</w:t>
      </w:r>
      <w:r w:rsidR="00A8682C" w:rsidRPr="00CB15FF">
        <w:rPr>
          <w:rFonts w:ascii="GHEA Grapalat" w:hAnsi="GHEA Grapalat" w:cs="GHEA Grapalat"/>
          <w:sz w:val="22"/>
          <w:szCs w:val="22"/>
        </w:rPr>
        <w:t xml:space="preserve"> </w:t>
      </w:r>
      <w:r w:rsidR="00360A9D" w:rsidRPr="00CB15FF">
        <w:rPr>
          <w:rFonts w:ascii="GHEA Grapalat" w:hAnsi="GHEA Grapalat" w:cs="GHEA Grapalat"/>
          <w:sz w:val="22"/>
          <w:szCs w:val="22"/>
        </w:rPr>
        <w:t xml:space="preserve">ՌԴ </w:t>
      </w:r>
      <w:r w:rsidR="002439B6" w:rsidRPr="00CB15FF">
        <w:rPr>
          <w:rFonts w:ascii="GHEA Grapalat" w:hAnsi="GHEA Grapalat" w:cs="GHEA Grapalat"/>
          <w:sz w:val="22"/>
          <w:szCs w:val="22"/>
        </w:rPr>
        <w:t>նկատմամբ կիրառվող աննախադեպ պատժամիջոցների հետևանքով առաջացած ՌԴ տնտեսական աճի դանդաղման,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2022</w:t>
      </w:r>
      <w:r w:rsidR="005B4D78"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թ</w:t>
      </w:r>
      <w:r w:rsidR="005B4D78" w:rsidRPr="00CB15FF">
        <w:rPr>
          <w:rFonts w:ascii="GHEA Grapalat" w:hAnsi="GHEA Grapalat" w:cs="GHEA Grapalat"/>
          <w:sz w:val="22"/>
          <w:szCs w:val="22"/>
        </w:rPr>
        <w:t>վականի</w:t>
      </w:r>
      <w:r w:rsidR="002439B6" w:rsidRPr="00CB15FF">
        <w:rPr>
          <w:rFonts w:ascii="GHEA Grapalat" w:hAnsi="GHEA Grapalat" w:cs="GHEA Grapalat"/>
          <w:sz w:val="22"/>
          <w:szCs w:val="22"/>
        </w:rPr>
        <w:t xml:space="preserve"> մարտ ամսին արձանագրվեց արտահանման աճի տեմպերի զգալի դանդաղում: Սակայն 2022</w:t>
      </w:r>
      <w:r w:rsidR="005B4D78"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թ</w:t>
      </w:r>
      <w:r w:rsidR="005B4D78" w:rsidRPr="00CB15FF">
        <w:rPr>
          <w:rFonts w:ascii="GHEA Grapalat" w:hAnsi="GHEA Grapalat" w:cs="GHEA Grapalat"/>
          <w:sz w:val="22"/>
          <w:szCs w:val="22"/>
        </w:rPr>
        <w:t>վականի</w:t>
      </w:r>
      <w:r w:rsidR="002439B6" w:rsidRPr="00CB15FF">
        <w:rPr>
          <w:rFonts w:ascii="GHEA Grapalat" w:hAnsi="GHEA Grapalat" w:cs="GHEA Grapalat"/>
          <w:sz w:val="22"/>
          <w:szCs w:val="22"/>
        </w:rPr>
        <w:t xml:space="preserve"> ապրիլ ամսից սկսած</w:t>
      </w:r>
      <w:r w:rsidR="00CC0F73" w:rsidRPr="00CB15FF">
        <w:rPr>
          <w:rFonts w:ascii="GHEA Grapalat" w:hAnsi="GHEA Grapalat" w:cs="GHEA Grapalat"/>
          <w:sz w:val="22"/>
          <w:szCs w:val="22"/>
        </w:rPr>
        <w:t>՝</w:t>
      </w:r>
      <w:r w:rsidR="002439B6" w:rsidRPr="00CB15FF">
        <w:rPr>
          <w:rFonts w:ascii="GHEA Grapalat" w:hAnsi="GHEA Grapalat" w:cs="GHEA Grapalat"/>
          <w:sz w:val="22"/>
          <w:szCs w:val="22"/>
        </w:rPr>
        <w:t xml:space="preserve"> </w:t>
      </w:r>
      <w:r w:rsidR="002439B6" w:rsidRPr="00CB15FF">
        <w:rPr>
          <w:rFonts w:ascii="GHEA Grapalat" w:hAnsi="GHEA Grapalat" w:cs="GHEA Grapalat"/>
          <w:sz w:val="22"/>
          <w:szCs w:val="22"/>
        </w:rPr>
        <w:lastRenderedPageBreak/>
        <w:t>արտահանման աճը նորից արագացավ, ավելին՝ վերջին 6 ամիսներին դեպի ՌԴ արտահանումն արագ տեմպերով ավելանում է</w:t>
      </w:r>
      <w:r w:rsidR="00CC0F73" w:rsidRPr="00CB15FF">
        <w:rPr>
          <w:rFonts w:ascii="GHEA Grapalat" w:hAnsi="GHEA Grapalat" w:cs="GHEA Grapalat"/>
          <w:sz w:val="22"/>
          <w:szCs w:val="22"/>
        </w:rPr>
        <w:t>՝</w:t>
      </w:r>
      <w:r w:rsidR="002439B6" w:rsidRPr="00CB15FF">
        <w:rPr>
          <w:rFonts w:ascii="GHEA Grapalat" w:hAnsi="GHEA Grapalat" w:cs="GHEA Grapalat"/>
          <w:sz w:val="22"/>
          <w:szCs w:val="22"/>
        </w:rPr>
        <w:t xml:space="preserve"> պայմանավորված ՌԴ-ում որոշ երկրներից ներմուծման սահմանափակումների արդյունքում ՀՀ ապրանքների նկատմամբ պահանջարկի ավելացմամբ: Բացի այդ, վերջին ամիսներին դեպի ՌԴ արտահանման համար բարենպաստ պայման է ստեղծել ՀՀ դրամի ռուբլու նկատմամբ իրական փոխարժեքի արժեզրկումը: 2022</w:t>
      </w:r>
      <w:r w:rsidR="00CC0F73"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թ</w:t>
      </w:r>
      <w:r w:rsidR="00CC0F73" w:rsidRPr="00CB15FF">
        <w:rPr>
          <w:rFonts w:ascii="GHEA Grapalat" w:hAnsi="GHEA Grapalat" w:cs="GHEA Grapalat"/>
          <w:sz w:val="22"/>
          <w:szCs w:val="22"/>
        </w:rPr>
        <w:t>վականի</w:t>
      </w:r>
      <w:r w:rsidR="002439B6" w:rsidRPr="00CB15FF">
        <w:rPr>
          <w:rFonts w:ascii="GHEA Grapalat" w:hAnsi="GHEA Grapalat" w:cs="GHEA Grapalat"/>
          <w:sz w:val="22"/>
          <w:szCs w:val="22"/>
        </w:rPr>
        <w:t xml:space="preserve"> հունվար-սեպտեմբեր ամիսներին ՀՀ ապրանքների արտահանման 63.8% դոլարային աճը հիմնականում պայմանավորվել է իրական ծավալների 50.3% աճով:</w:t>
      </w:r>
    </w:p>
    <w:p w:rsidR="002439B6" w:rsidRPr="00CB15FF" w:rsidRDefault="002439B6" w:rsidP="00583AC3">
      <w:pPr>
        <w:spacing w:line="360" w:lineRule="auto"/>
        <w:ind w:firstLine="720"/>
        <w:jc w:val="both"/>
        <w:rPr>
          <w:rFonts w:ascii="GHEA Grapalat" w:hAnsi="GHEA Grapalat" w:cs="GHEA Grapalat"/>
          <w:sz w:val="22"/>
          <w:szCs w:val="22"/>
        </w:rPr>
      </w:pPr>
    </w:p>
    <w:p w:rsidR="002439B6" w:rsidRPr="00CB15FF" w:rsidRDefault="00583AC3" w:rsidP="00594346">
      <w:pPr>
        <w:pStyle w:val="a"/>
        <w:ind w:left="0" w:firstLine="0"/>
      </w:pPr>
      <w:r w:rsidRPr="00CB15FF">
        <w:rPr>
          <w:lang w:val="en-US"/>
        </w:rPr>
        <w:drawing>
          <wp:anchor distT="0" distB="0" distL="114300" distR="114300" simplePos="0" relativeHeight="251663360" behindDoc="1" locked="0" layoutInCell="1" allowOverlap="1" wp14:anchorId="2D2A668E" wp14:editId="4EAD32CC">
            <wp:simplePos x="0" y="0"/>
            <wp:positionH relativeFrom="page">
              <wp:posOffset>4031615</wp:posOffset>
            </wp:positionH>
            <wp:positionV relativeFrom="paragraph">
              <wp:posOffset>295275</wp:posOffset>
            </wp:positionV>
            <wp:extent cx="3150235" cy="2518410"/>
            <wp:effectExtent l="0" t="0" r="0" b="0"/>
            <wp:wrapThrough wrapText="bothSides">
              <wp:wrapPolygon edited="0">
                <wp:start x="0" y="0"/>
                <wp:lineTo x="0" y="21567"/>
                <wp:lineTo x="21552" y="21567"/>
                <wp:lineTo x="21552"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439B6" w:rsidRPr="00CB15FF">
        <w:t>Ապրանքների</w:t>
      </w:r>
      <w:r w:rsidR="002439B6" w:rsidRPr="00CB15FF">
        <w:rPr>
          <w:rStyle w:val="Char0"/>
        </w:rPr>
        <w:t xml:space="preserve"> արտահանման միտումները հունվար-սեպտեմբեր ամիսներին</w:t>
      </w:r>
      <w:r w:rsidR="002439B6" w:rsidRPr="00CB15FF">
        <w:rPr>
          <w:vertAlign w:val="superscript"/>
        </w:rPr>
        <w:footnoteReference w:id="16"/>
      </w:r>
    </w:p>
    <w:p w:rsidR="002439B6" w:rsidRPr="00CB15FF" w:rsidRDefault="002439B6" w:rsidP="002439B6">
      <w:pPr>
        <w:keepNext/>
        <w:spacing w:line="276" w:lineRule="auto"/>
        <w:jc w:val="both"/>
        <w:rPr>
          <w:rFonts w:ascii="GHEA Grapalat" w:eastAsia="GHEA Grapalat" w:hAnsi="GHEA Grapalat" w:cs="GHEA Grapalat"/>
          <w:b/>
          <w:sz w:val="22"/>
          <w:szCs w:val="22"/>
          <w:lang w:val="ru-RU"/>
        </w:rPr>
      </w:pPr>
      <w:r w:rsidRPr="00CB15FF">
        <w:rPr>
          <w:rFonts w:ascii="GHEA Grapalat" w:hAnsi="GHEA Grapalat"/>
          <w:noProof/>
          <w:sz w:val="22"/>
          <w:szCs w:val="22"/>
        </w:rPr>
        <w:drawing>
          <wp:inline distT="0" distB="0" distL="0" distR="0" wp14:anchorId="6582AB73" wp14:editId="60F857D5">
            <wp:extent cx="3125586" cy="2518756"/>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39B6" w:rsidRPr="00CB15FF" w:rsidRDefault="002439B6" w:rsidP="002439B6">
      <w:pPr>
        <w:spacing w:line="360" w:lineRule="auto"/>
        <w:ind w:firstLine="567"/>
        <w:jc w:val="both"/>
        <w:rPr>
          <w:rFonts w:ascii="GHEA Grapalat" w:eastAsia="GHEA Grapalat" w:hAnsi="GHEA Grapalat" w:cs="GHEA Grapalat"/>
          <w:sz w:val="22"/>
          <w:szCs w:val="22"/>
        </w:rPr>
      </w:pPr>
    </w:p>
    <w:p w:rsidR="00825352" w:rsidRPr="00CB15FF" w:rsidRDefault="002439B6" w:rsidP="002439B6">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2022 թվականի ինն ամիսներին արտահանման աճին բոլոր ապրանքախմբերը դրական նպաստում են ունեցել, մասնավորապես դրական են նպաստել</w:t>
      </w:r>
      <w:r w:rsidRPr="000F6B0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 xml:space="preserve">«Թանկարժեք և կիսաթանկարժեք քարեր, թանկարժեք մետաղներ դրանցից իրեր» </w:t>
      </w:r>
      <w:r w:rsidRPr="000F6B0F">
        <w:rPr>
          <w:rFonts w:ascii="GHEA Grapalat" w:eastAsia="GHEA Grapalat" w:hAnsi="GHEA Grapalat" w:cs="GHEA Grapalat"/>
          <w:sz w:val="22"/>
          <w:szCs w:val="22"/>
        </w:rPr>
        <w:t>(</w:t>
      </w:r>
      <w:r w:rsidRPr="00CB15FF">
        <w:rPr>
          <w:rFonts w:ascii="GHEA Grapalat" w:eastAsia="GHEA Grapalat" w:hAnsi="GHEA Grapalat" w:cs="GHEA Grapalat"/>
          <w:sz w:val="22"/>
          <w:szCs w:val="22"/>
        </w:rPr>
        <w:t>17.7տոկոսային կետով</w:t>
      </w:r>
      <w:r w:rsidRPr="000F6B0F">
        <w:rPr>
          <w:rFonts w:ascii="GHEA Grapalat" w:eastAsia="GHEA Grapalat" w:hAnsi="GHEA Grapalat" w:cs="GHEA Grapalat"/>
          <w:sz w:val="22"/>
          <w:szCs w:val="22"/>
        </w:rPr>
        <w:t>)</w:t>
      </w:r>
      <w:r w:rsidRPr="00CB15FF">
        <w:rPr>
          <w:rFonts w:ascii="GHEA Grapalat" w:eastAsia="GHEA Grapalat" w:hAnsi="GHEA Grapalat" w:cs="GHEA Grapalat"/>
          <w:sz w:val="22"/>
          <w:szCs w:val="22"/>
        </w:rPr>
        <w:t>,</w:t>
      </w:r>
      <w:r w:rsidRPr="000F6B0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Մեքենաներ և սարքավորումներ</w:t>
      </w:r>
      <w:r w:rsidRPr="000F6B0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w:t>
      </w:r>
      <w:r w:rsidRPr="000F6B0F">
        <w:rPr>
          <w:rFonts w:ascii="GHEA Grapalat" w:eastAsia="GHEA Grapalat" w:hAnsi="GHEA Grapalat" w:cs="GHEA Grapalat"/>
          <w:sz w:val="22"/>
          <w:szCs w:val="22"/>
        </w:rPr>
        <w:t>(</w:t>
      </w:r>
      <w:r w:rsidRPr="00CB15FF">
        <w:rPr>
          <w:rFonts w:ascii="GHEA Grapalat" w:eastAsia="GHEA Grapalat" w:hAnsi="GHEA Grapalat" w:cs="GHEA Grapalat"/>
          <w:sz w:val="22"/>
          <w:szCs w:val="22"/>
        </w:rPr>
        <w:t>16.8 տոկոսային կետով</w:t>
      </w:r>
      <w:r w:rsidRPr="000F6B0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«Պատրաստի սննդի արտադրանք»</w:t>
      </w:r>
      <w:r w:rsidRPr="000F6B0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8</w:t>
      </w:r>
      <w:r w:rsidRPr="000F6B0F">
        <w:rPr>
          <w:rFonts w:ascii="GHEA Grapalat" w:eastAsia="GHEA Grapalat" w:hAnsi="GHEA Grapalat" w:cs="GHEA Grapalat"/>
          <w:sz w:val="22"/>
          <w:szCs w:val="22"/>
        </w:rPr>
        <w:t>.7</w:t>
      </w:r>
      <w:r w:rsidRPr="00CB15FF">
        <w:rPr>
          <w:rFonts w:ascii="GHEA Grapalat" w:eastAsia="GHEA Grapalat" w:hAnsi="GHEA Grapalat" w:cs="GHEA Grapalat"/>
          <w:sz w:val="22"/>
          <w:szCs w:val="22"/>
        </w:rPr>
        <w:t xml:space="preserve"> տոկոսային կետով</w:t>
      </w:r>
      <w:r w:rsidRPr="000F6B0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«Վերգետնյա, օդային և ջրային տրանսպորտի միջոցներ» </w:t>
      </w:r>
      <w:r w:rsidRPr="000F6B0F">
        <w:rPr>
          <w:rFonts w:ascii="GHEA Grapalat" w:eastAsia="GHEA Grapalat" w:hAnsi="GHEA Grapalat" w:cs="GHEA Grapalat"/>
          <w:sz w:val="22"/>
          <w:szCs w:val="22"/>
        </w:rPr>
        <w:t>(</w:t>
      </w:r>
      <w:r w:rsidRPr="00CB15FF">
        <w:rPr>
          <w:rFonts w:ascii="GHEA Grapalat" w:eastAsia="GHEA Grapalat" w:hAnsi="GHEA Grapalat" w:cs="GHEA Grapalat"/>
          <w:sz w:val="22"/>
          <w:szCs w:val="22"/>
        </w:rPr>
        <w:t>4.5 տոկոսային կետով</w:t>
      </w:r>
      <w:r w:rsidRPr="000F6B0F">
        <w:rPr>
          <w:rFonts w:ascii="GHEA Grapalat" w:eastAsia="GHEA Grapalat" w:hAnsi="GHEA Grapalat" w:cs="GHEA Grapalat"/>
          <w:sz w:val="22"/>
          <w:szCs w:val="22"/>
        </w:rPr>
        <w:t>)</w:t>
      </w:r>
      <w:r w:rsidRPr="00CB15FF">
        <w:rPr>
          <w:rStyle w:val="FootnoteReference"/>
          <w:rFonts w:ascii="GHEA Grapalat" w:eastAsia="GHEA Grapalat" w:hAnsi="GHEA Grapalat" w:cs="GHEA Grapalat"/>
          <w:bCs/>
          <w:sz w:val="22"/>
          <w:szCs w:val="22"/>
        </w:rPr>
        <w:footnoteReference w:id="17"/>
      </w:r>
      <w:r w:rsidRPr="00CB15FF">
        <w:rPr>
          <w:rFonts w:ascii="GHEA Grapalat" w:eastAsia="GHEA Grapalat" w:hAnsi="GHEA Grapalat" w:cs="GHEA Grapalat"/>
          <w:sz w:val="22"/>
          <w:szCs w:val="22"/>
        </w:rPr>
        <w:t xml:space="preserve"> ապրանքախմբերը:</w:t>
      </w:r>
    </w:p>
    <w:p w:rsidR="00825352" w:rsidRPr="000F6B0F" w:rsidRDefault="00825352" w:rsidP="00FB5D9D">
      <w:pPr>
        <w:spacing w:line="360" w:lineRule="auto"/>
        <w:ind w:firstLine="567"/>
        <w:jc w:val="both"/>
        <w:rPr>
          <w:rFonts w:ascii="GHEA Grapalat" w:eastAsia="GHEA Grapalat" w:hAnsi="GHEA Grapalat" w:cs="GHEA Grapalat"/>
          <w:sz w:val="22"/>
          <w:szCs w:val="22"/>
          <w:lang w:val="hy-AM"/>
        </w:rPr>
      </w:pPr>
      <w:r w:rsidRPr="00CB15FF">
        <w:rPr>
          <w:rFonts w:ascii="GHEA Grapalat" w:hAnsi="GHEA Grapalat" w:cs="GHEA Grapalat"/>
          <w:b/>
          <w:i/>
          <w:sz w:val="22"/>
          <w:szCs w:val="22"/>
          <w:lang w:val="hy-AM"/>
        </w:rPr>
        <w:t>Ներմուծում:</w:t>
      </w:r>
      <w:r w:rsidRPr="00CB15FF">
        <w:rPr>
          <w:rFonts w:ascii="GHEA Grapalat" w:hAnsi="GHEA Grapalat" w:cs="GHEA Grapalat"/>
          <w:sz w:val="22"/>
          <w:szCs w:val="22"/>
          <w:lang w:val="hy-AM"/>
        </w:rPr>
        <w:t xml:space="preserve"> </w:t>
      </w:r>
      <w:r w:rsidR="004103FE" w:rsidRPr="000F6B0F">
        <w:rPr>
          <w:rFonts w:ascii="GHEA Grapalat" w:eastAsia="GHEA Grapalat" w:hAnsi="GHEA Grapalat" w:cs="GHEA Grapalat"/>
          <w:sz w:val="22"/>
          <w:szCs w:val="22"/>
          <w:lang w:val="hy-AM"/>
        </w:rPr>
        <w:t>2022 թվականի հունվար-սեպտեմբեր ամիսներին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Դոլարային արտահայտությամբ ապրանքների ներմուծման աճը 2022</w:t>
      </w:r>
      <w:r w:rsidR="00CC0F73" w:rsidRPr="000F6B0F">
        <w:rPr>
          <w:rFonts w:ascii="GHEA Grapalat" w:eastAsia="GHEA Grapalat" w:hAnsi="GHEA Grapalat" w:cs="GHEA Grapalat"/>
          <w:sz w:val="22"/>
          <w:szCs w:val="22"/>
          <w:lang w:val="hy-AM"/>
        </w:rPr>
        <w:t xml:space="preserve"> </w:t>
      </w:r>
      <w:r w:rsidR="004103FE" w:rsidRPr="000F6B0F">
        <w:rPr>
          <w:rFonts w:ascii="GHEA Grapalat" w:eastAsia="GHEA Grapalat" w:hAnsi="GHEA Grapalat" w:cs="GHEA Grapalat"/>
          <w:sz w:val="22"/>
          <w:szCs w:val="22"/>
          <w:lang w:val="hy-AM"/>
        </w:rPr>
        <w:t>թ</w:t>
      </w:r>
      <w:r w:rsidR="00CC0F73" w:rsidRPr="000F6B0F">
        <w:rPr>
          <w:rFonts w:ascii="GHEA Grapalat" w:eastAsia="GHEA Grapalat" w:hAnsi="GHEA Grapalat" w:cs="GHEA Grapalat"/>
          <w:sz w:val="22"/>
          <w:szCs w:val="22"/>
          <w:lang w:val="hy-AM"/>
        </w:rPr>
        <w:t>վականի</w:t>
      </w:r>
      <w:r w:rsidR="004103FE" w:rsidRPr="000F6B0F">
        <w:rPr>
          <w:rFonts w:ascii="GHEA Grapalat" w:eastAsia="GHEA Grapalat" w:hAnsi="GHEA Grapalat" w:cs="GHEA Grapalat"/>
          <w:sz w:val="22"/>
          <w:szCs w:val="22"/>
          <w:lang w:val="hy-AM"/>
        </w:rPr>
        <w:t xml:space="preserve"> ինն ամիսներին կազմել է 61.6%: Չնայած 2022</w:t>
      </w:r>
      <w:r w:rsidR="00CC0F73" w:rsidRPr="000F6B0F">
        <w:rPr>
          <w:rFonts w:ascii="GHEA Grapalat" w:eastAsia="GHEA Grapalat" w:hAnsi="GHEA Grapalat" w:cs="GHEA Grapalat"/>
          <w:sz w:val="22"/>
          <w:szCs w:val="22"/>
          <w:lang w:val="hy-AM"/>
        </w:rPr>
        <w:t xml:space="preserve"> </w:t>
      </w:r>
      <w:r w:rsidR="004103FE" w:rsidRPr="000F6B0F">
        <w:rPr>
          <w:rFonts w:ascii="GHEA Grapalat" w:eastAsia="GHEA Grapalat" w:hAnsi="GHEA Grapalat" w:cs="GHEA Grapalat"/>
          <w:sz w:val="22"/>
          <w:szCs w:val="22"/>
          <w:lang w:val="hy-AM"/>
        </w:rPr>
        <w:t>թ</w:t>
      </w:r>
      <w:r w:rsidR="00CC0F73" w:rsidRPr="000F6B0F">
        <w:rPr>
          <w:rFonts w:ascii="GHEA Grapalat" w:eastAsia="GHEA Grapalat" w:hAnsi="GHEA Grapalat" w:cs="GHEA Grapalat"/>
          <w:sz w:val="22"/>
          <w:szCs w:val="22"/>
          <w:lang w:val="hy-AM"/>
        </w:rPr>
        <w:t>վականի</w:t>
      </w:r>
      <w:r w:rsidR="004103FE" w:rsidRPr="000F6B0F">
        <w:rPr>
          <w:rFonts w:ascii="GHEA Grapalat" w:eastAsia="GHEA Grapalat" w:hAnsi="GHEA Grapalat" w:cs="GHEA Grapalat"/>
          <w:sz w:val="22"/>
          <w:szCs w:val="22"/>
          <w:lang w:val="hy-AM"/>
        </w:rPr>
        <w:t xml:space="preserve"> փետրվար-ապրիլ ամիսներին շարունակաբար </w:t>
      </w:r>
      <w:r w:rsidR="004103FE" w:rsidRPr="000F6B0F">
        <w:rPr>
          <w:rFonts w:ascii="GHEA Grapalat" w:eastAsia="GHEA Grapalat" w:hAnsi="GHEA Grapalat" w:cs="GHEA Grapalat"/>
          <w:sz w:val="22"/>
          <w:szCs w:val="22"/>
          <w:lang w:val="hy-AM"/>
        </w:rPr>
        <w:lastRenderedPageBreak/>
        <w:t>նկատվում էր ներմուծման աճի դանդաղում</w:t>
      </w:r>
      <w:r w:rsidR="00CC0F73" w:rsidRPr="000F6B0F">
        <w:rPr>
          <w:rFonts w:ascii="GHEA Grapalat" w:eastAsia="GHEA Grapalat" w:hAnsi="GHEA Grapalat" w:cs="GHEA Grapalat"/>
          <w:sz w:val="22"/>
          <w:szCs w:val="22"/>
          <w:lang w:val="hy-AM"/>
        </w:rPr>
        <w:t>՝</w:t>
      </w:r>
      <w:r w:rsidR="004103FE" w:rsidRPr="000F6B0F">
        <w:rPr>
          <w:rFonts w:ascii="GHEA Grapalat" w:eastAsia="GHEA Grapalat" w:hAnsi="GHEA Grapalat" w:cs="GHEA Grapalat"/>
          <w:sz w:val="22"/>
          <w:szCs w:val="22"/>
          <w:lang w:val="hy-AM"/>
        </w:rPr>
        <w:t xml:space="preserve"> մայիս ամսից սկսած նկատվել է աճի արագացում (տե՛ս ստորև ներկայացված գծապատկերը): 2022 թվականի հունվար-սեպտեմբեր ամիսների ՀՀ ապրանքների ներմուծման 61.6% անվանական դոլարային աճի 32.6 </w:t>
      </w:r>
      <w:r w:rsidR="00CC0F73" w:rsidRPr="000F6B0F">
        <w:rPr>
          <w:rFonts w:ascii="GHEA Grapalat" w:eastAsia="GHEA Grapalat" w:hAnsi="GHEA Grapalat" w:cs="GHEA Grapalat"/>
          <w:sz w:val="22"/>
          <w:szCs w:val="22"/>
          <w:lang w:val="hy-AM"/>
        </w:rPr>
        <w:t>տոկոսային</w:t>
      </w:r>
      <w:r w:rsidR="004103FE" w:rsidRPr="000F6B0F">
        <w:rPr>
          <w:rFonts w:ascii="GHEA Grapalat" w:eastAsia="GHEA Grapalat" w:hAnsi="GHEA Grapalat" w:cs="GHEA Grapalat"/>
          <w:sz w:val="22"/>
          <w:szCs w:val="22"/>
          <w:lang w:val="hy-AM"/>
        </w:rPr>
        <w:t xml:space="preserve"> կետը պայմանավորվել է իրական ծավալների աճով:</w:t>
      </w:r>
    </w:p>
    <w:p w:rsidR="00583AC3" w:rsidRPr="000F6B0F" w:rsidRDefault="00583AC3" w:rsidP="00FB5D9D">
      <w:pPr>
        <w:spacing w:line="360" w:lineRule="auto"/>
        <w:ind w:firstLine="567"/>
        <w:jc w:val="both"/>
        <w:rPr>
          <w:rFonts w:ascii="GHEA Grapalat" w:eastAsia="GHEA Grapalat" w:hAnsi="GHEA Grapalat" w:cs="GHEA Grapalat"/>
          <w:sz w:val="22"/>
          <w:szCs w:val="22"/>
          <w:lang w:val="hy-AM"/>
        </w:rPr>
      </w:pPr>
    </w:p>
    <w:p w:rsidR="004103FE" w:rsidRPr="00CB15FF" w:rsidRDefault="004103FE" w:rsidP="00594346">
      <w:pPr>
        <w:pStyle w:val="a"/>
        <w:ind w:left="0" w:firstLine="0"/>
      </w:pPr>
      <w:r w:rsidRPr="00CB15FF">
        <w:t>Ապրանքների ներմուծման միտումները հունվար-սե</w:t>
      </w:r>
      <w:r w:rsidR="00646A43" w:rsidRPr="000F6B0F">
        <w:t>պ</w:t>
      </w:r>
      <w:r w:rsidRPr="00CB15FF">
        <w:t>տեմբեր ամիսներին</w:t>
      </w:r>
      <w:r w:rsidRPr="00CB15FF">
        <w:rPr>
          <w:vertAlign w:val="superscript"/>
        </w:rPr>
        <w:footnoteReference w:id="18"/>
      </w:r>
    </w:p>
    <w:p w:rsidR="00825352" w:rsidRPr="00CB15FF" w:rsidRDefault="004103FE" w:rsidP="00583AC3">
      <w:pPr>
        <w:spacing w:before="240" w:line="360" w:lineRule="auto"/>
        <w:jc w:val="both"/>
        <w:rPr>
          <w:rFonts w:ascii="GHEA Grapalat" w:hAnsi="GHEA Grapalat" w:cs="GHEA Grapalat"/>
          <w:sz w:val="22"/>
          <w:szCs w:val="22"/>
        </w:rPr>
      </w:pPr>
      <w:r w:rsidRPr="00CB15FF">
        <w:rPr>
          <w:rFonts w:ascii="GHEA Grapalat" w:eastAsia="Calibri" w:hAnsi="GHEA Grapalat"/>
          <w:i/>
          <w:noProof/>
          <w:sz w:val="22"/>
          <w:szCs w:val="22"/>
        </w:rPr>
        <w:drawing>
          <wp:anchor distT="0" distB="0" distL="114300" distR="114300" simplePos="0" relativeHeight="251665408" behindDoc="1" locked="0" layoutInCell="1" allowOverlap="1" wp14:anchorId="324E664A" wp14:editId="04B6EB8B">
            <wp:simplePos x="0" y="0"/>
            <wp:positionH relativeFrom="page">
              <wp:posOffset>3963670</wp:posOffset>
            </wp:positionH>
            <wp:positionV relativeFrom="paragraph">
              <wp:posOffset>78740</wp:posOffset>
            </wp:positionV>
            <wp:extent cx="3239770" cy="2519680"/>
            <wp:effectExtent l="0" t="0" r="0" b="0"/>
            <wp:wrapTight wrapText="bothSides">
              <wp:wrapPolygon edited="0">
                <wp:start x="0" y="0"/>
                <wp:lineTo x="0" y="21556"/>
                <wp:lineTo x="21592" y="21556"/>
                <wp:lineTo x="21592"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B15FF">
        <w:rPr>
          <w:rFonts w:ascii="GHEA Grapalat" w:hAnsi="GHEA Grapalat"/>
          <w:noProof/>
          <w:sz w:val="22"/>
          <w:szCs w:val="22"/>
        </w:rPr>
        <w:drawing>
          <wp:inline distT="0" distB="0" distL="0" distR="0" wp14:anchorId="7876F1FC" wp14:editId="062E3D1F">
            <wp:extent cx="3108960" cy="251875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3AC3" w:rsidRPr="00CB15FF" w:rsidRDefault="00583AC3" w:rsidP="00583AC3">
      <w:pPr>
        <w:spacing w:line="360" w:lineRule="auto"/>
        <w:ind w:firstLine="567"/>
        <w:jc w:val="both"/>
        <w:rPr>
          <w:rFonts w:ascii="GHEA Grapalat" w:hAnsi="GHEA Grapalat" w:cs="GHEA Grapalat"/>
          <w:sz w:val="22"/>
          <w:szCs w:val="22"/>
        </w:rPr>
      </w:pPr>
    </w:p>
    <w:p w:rsidR="00BE5695" w:rsidRPr="00CB15FF" w:rsidRDefault="00BE5695" w:rsidP="00BE5695">
      <w:pPr>
        <w:spacing w:line="360" w:lineRule="auto"/>
        <w:ind w:firstLine="567"/>
        <w:jc w:val="both"/>
        <w:rPr>
          <w:rFonts w:ascii="GHEA Grapalat" w:eastAsia="GHEA Grapalat" w:hAnsi="GHEA Grapalat" w:cs="GHEA Grapalat"/>
          <w:bCs/>
          <w:sz w:val="22"/>
          <w:szCs w:val="22"/>
        </w:rPr>
      </w:pPr>
      <w:r w:rsidRPr="00CB15FF">
        <w:rPr>
          <w:rFonts w:ascii="GHEA Grapalat" w:eastAsia="GHEA Grapalat" w:hAnsi="GHEA Grapalat" w:cs="GHEA Grapalat"/>
          <w:sz w:val="22"/>
          <w:szCs w:val="22"/>
        </w:rPr>
        <w:t>2022 թվականի հունվար-սեպտեմբեր ամիսներին գրեթե բոլոր ապրանքախմբերով տեղի է ունեցել ներմուծման՝ դոլարային արտահայտությամբ ծավալների աճ: Աճին ամենամեծ նպաստումն են ունեցել «Մեքենաներ, սարքավորումներ և մեխանիզմներ» (14.2 տոկոսային կետ), «Վերգետնյա, օդային և ջրային տրանսպորտի միջոցներ»</w:t>
      </w:r>
      <w:r w:rsidR="00AA1BA3"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(8.9 տոկոսային կետ), «Թանկարժեք և կիսաթանկարժեք քարեր, թանկարժեք մետաղներ և դրանցից իրեր» (7 տոկոսային կետ), «Հանքահումքային արտադրանք» (5.9 տոկոսային կետ), «Ոչ թանկարժեք մետաղներ և դրանցից պատրաստված իրեր» (5 տոկոսային կետ) ապրանքախմբերը</w:t>
      </w:r>
      <w:r w:rsidRPr="00CB15FF">
        <w:rPr>
          <w:rStyle w:val="FootnoteReference"/>
          <w:rFonts w:ascii="GHEA Grapalat" w:eastAsia="GHEA Grapalat" w:hAnsi="GHEA Grapalat" w:cs="GHEA Grapalat"/>
          <w:bCs/>
          <w:sz w:val="22"/>
          <w:szCs w:val="22"/>
        </w:rPr>
        <w:footnoteReference w:id="19"/>
      </w:r>
      <w:r w:rsidRPr="00CB15FF">
        <w:rPr>
          <w:rFonts w:ascii="GHEA Grapalat" w:eastAsia="GHEA Grapalat" w:hAnsi="GHEA Grapalat" w:cs="GHEA Grapalat"/>
          <w:bCs/>
          <w:sz w:val="22"/>
          <w:szCs w:val="22"/>
        </w:rPr>
        <w:t xml:space="preserve">։ </w:t>
      </w:r>
    </w:p>
    <w:p w:rsidR="00BE5695" w:rsidRPr="00CB15FF" w:rsidRDefault="00BE5695" w:rsidP="00BE569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Ըստ ապրանքների լայն տնտեսական դասակարգման</w:t>
      </w:r>
      <w:r w:rsidRPr="00CB15FF">
        <w:rPr>
          <w:rFonts w:ascii="GHEA Grapalat" w:eastAsia="GHEA Grapalat" w:hAnsi="GHEA Grapalat" w:cs="GHEA Grapalat"/>
          <w:sz w:val="22"/>
          <w:szCs w:val="22"/>
          <w:vertAlign w:val="superscript"/>
        </w:rPr>
        <w:footnoteReference w:id="20"/>
      </w:r>
      <w:r w:rsidR="00CC0F73"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ներմուծման հունվար-սեպտեմբեր ամիսների աճին նպաստել են «Միջանկյալ սպառման ապրանքները» (29.9 տոկոսային կետով, այդ թվում՝ արդյունաբերական մատակարարումները՝ 19.6 տոկոսային կետով), «Կապիտալ </w:t>
      </w:r>
      <w:r w:rsidRPr="00CB15FF">
        <w:rPr>
          <w:rFonts w:ascii="GHEA Grapalat" w:eastAsia="GHEA Grapalat" w:hAnsi="GHEA Grapalat" w:cs="GHEA Grapalat"/>
          <w:sz w:val="22"/>
          <w:szCs w:val="22"/>
        </w:rPr>
        <w:lastRenderedPageBreak/>
        <w:t>ապրանքները» (13.5 տոկոսային կետով), «Վերջնական սպառման ապրանքները» (10.9 տոկոսային կետով) և «Մարդատար ավտոմեքենաները» (7.4 տոկոսային կետով)</w:t>
      </w:r>
      <w:r w:rsidRPr="00CB15FF">
        <w:rPr>
          <w:rStyle w:val="FootnoteReference"/>
          <w:rFonts w:ascii="GHEA Grapalat" w:eastAsia="GHEA Grapalat" w:hAnsi="GHEA Grapalat" w:cs="GHEA Grapalat"/>
          <w:bCs/>
          <w:sz w:val="22"/>
          <w:szCs w:val="22"/>
        </w:rPr>
        <w:footnoteReference w:id="21"/>
      </w:r>
      <w:r w:rsidRPr="00CB15FF">
        <w:rPr>
          <w:rFonts w:ascii="GHEA Grapalat" w:eastAsia="GHEA Grapalat" w:hAnsi="GHEA Grapalat" w:cs="GHEA Grapalat"/>
          <w:sz w:val="22"/>
          <w:szCs w:val="22"/>
        </w:rPr>
        <w:t>:</w:t>
      </w:r>
    </w:p>
    <w:p w:rsidR="00BE5695" w:rsidRPr="00CB15FF" w:rsidRDefault="00825352" w:rsidP="00BE5695">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Ներմուծման ծածկման գործակից:</w:t>
      </w:r>
      <w:r w:rsidRPr="00CB15FF">
        <w:rPr>
          <w:rFonts w:ascii="GHEA Grapalat" w:hAnsi="GHEA Grapalat" w:cs="GHEA Grapalat"/>
          <w:sz w:val="22"/>
          <w:szCs w:val="22"/>
          <w:lang w:val="hy-AM"/>
        </w:rPr>
        <w:t xml:space="preserve"> </w:t>
      </w:r>
      <w:r w:rsidR="00BE5695" w:rsidRPr="00CB15FF">
        <w:rPr>
          <w:rFonts w:ascii="GHEA Grapalat" w:eastAsia="GHEA Grapalat" w:hAnsi="GHEA Grapalat" w:cs="GHEA Grapalat"/>
          <w:sz w:val="22"/>
          <w:szCs w:val="22"/>
        </w:rPr>
        <w:t>Ներմուծման ծածկման գործակ</w:t>
      </w:r>
      <w:sdt>
        <w:sdtPr>
          <w:rPr>
            <w:rFonts w:ascii="GHEA Grapalat" w:eastAsia="GHEA Grapalat" w:hAnsi="GHEA Grapalat" w:cs="GHEA Grapalat"/>
            <w:sz w:val="22"/>
            <w:szCs w:val="22"/>
          </w:rPr>
          <w:tag w:val="goog_rdk_99"/>
          <w:id w:val="-1759356997"/>
        </w:sdtPr>
        <w:sdtEndPr/>
        <w:sdtContent>
          <w:r w:rsidR="00BE5695" w:rsidRPr="00CB15FF">
            <w:rPr>
              <w:rFonts w:ascii="GHEA Grapalat" w:eastAsia="GHEA Grapalat" w:hAnsi="GHEA Grapalat" w:cs="GHEA Grapalat"/>
              <w:sz w:val="22"/>
              <w:szCs w:val="22"/>
            </w:rPr>
            <w:t>ի</w:t>
          </w:r>
        </w:sdtContent>
      </w:sdt>
      <w:r w:rsidR="00BE5695" w:rsidRPr="00CB15FF">
        <w:rPr>
          <w:rFonts w:ascii="GHEA Grapalat" w:eastAsia="GHEA Grapalat" w:hAnsi="GHEA Grapalat" w:cs="GHEA Grapalat"/>
          <w:sz w:val="22"/>
          <w:szCs w:val="22"/>
        </w:rPr>
        <w:t>ցը 2022թ. հունվար-սեպտեմբեր ամիսներին նախորդ տարվա նույն ժամանակահատվածի</w:t>
      </w:r>
      <w:r w:rsidR="00583AC3" w:rsidRPr="00CB15FF">
        <w:rPr>
          <w:rFonts w:ascii="GHEA Grapalat" w:eastAsia="GHEA Grapalat" w:hAnsi="GHEA Grapalat" w:cs="GHEA Grapalat"/>
          <w:sz w:val="22"/>
          <w:szCs w:val="22"/>
        </w:rPr>
        <w:t xml:space="preserve"> համեմատ</w:t>
      </w:r>
      <w:r w:rsidR="00BE5695" w:rsidRPr="00CB15FF">
        <w:rPr>
          <w:rFonts w:ascii="GHEA Grapalat" w:eastAsia="GHEA Grapalat" w:hAnsi="GHEA Grapalat" w:cs="GHEA Grapalat"/>
          <w:sz w:val="22"/>
          <w:szCs w:val="22"/>
        </w:rPr>
        <w:t xml:space="preserve"> փոքր-ինչ վատթարացել է՝ պահպանվելով պատմականորեն բարձր մակարդակում: 2022 թվականի հունվար-սեպտեմբերին արտահանման հաշվին ֆինանսավորվել է ներմուծման շուրջ 72%-ը:</w:t>
      </w:r>
    </w:p>
    <w:p w:rsidR="00BE5695" w:rsidRPr="00CB15FF" w:rsidRDefault="00BE5695" w:rsidP="00BE5695">
      <w:pPr>
        <w:spacing w:line="360" w:lineRule="auto"/>
        <w:ind w:firstLine="540"/>
        <w:jc w:val="both"/>
        <w:rPr>
          <w:rFonts w:ascii="GHEA Grapalat" w:eastAsia="GHEA Grapalat" w:hAnsi="GHEA Grapalat" w:cs="GHEA Grapalat"/>
          <w:sz w:val="22"/>
          <w:szCs w:val="22"/>
        </w:rPr>
      </w:pPr>
    </w:p>
    <w:p w:rsidR="00BE5695" w:rsidRPr="00CB15FF" w:rsidRDefault="00BE5695" w:rsidP="00594346">
      <w:pPr>
        <w:pStyle w:val="a"/>
        <w:ind w:left="0" w:firstLine="0"/>
      </w:pPr>
      <w:r w:rsidRPr="00CB15FF">
        <w:rPr>
          <w:rStyle w:val="Char0"/>
        </w:rPr>
        <w:t>Ներմուծման</w:t>
      </w:r>
      <w:r w:rsidRPr="00CB15FF">
        <w:t xml:space="preserve"> ծածկման գործակիցը հունվար-սեպտեմբեր ամիսներին</w:t>
      </w:r>
      <w:r w:rsidRPr="00CB15FF">
        <w:rPr>
          <w:vertAlign w:val="superscript"/>
        </w:rPr>
        <w:footnoteReference w:id="22"/>
      </w:r>
    </w:p>
    <w:p w:rsidR="00BE5695" w:rsidRPr="00CB15FF" w:rsidRDefault="00BE5695" w:rsidP="00BE5695">
      <w:pPr>
        <w:jc w:val="center"/>
        <w:rPr>
          <w:rFonts w:ascii="GHEA Grapalat" w:eastAsia="GHEA Grapalat" w:hAnsi="GHEA Grapalat" w:cs="GHEA Grapalat"/>
          <w:i/>
          <w:color w:val="000000"/>
          <w:sz w:val="22"/>
          <w:szCs w:val="22"/>
        </w:rPr>
      </w:pPr>
      <w:r w:rsidRPr="00CB15FF">
        <w:rPr>
          <w:rFonts w:ascii="GHEA Grapalat" w:hAnsi="GHEA Grapalat"/>
          <w:i/>
          <w:noProof/>
          <w:sz w:val="22"/>
          <w:szCs w:val="22"/>
        </w:rPr>
        <w:drawing>
          <wp:inline distT="0" distB="0" distL="0" distR="0" wp14:anchorId="36EB8962" wp14:editId="05023425">
            <wp:extent cx="6367549" cy="2211186"/>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5352" w:rsidRPr="00CB15FF" w:rsidRDefault="00825352" w:rsidP="00BE5695">
      <w:pPr>
        <w:spacing w:line="360" w:lineRule="auto"/>
        <w:ind w:firstLine="567"/>
        <w:jc w:val="both"/>
        <w:rPr>
          <w:rFonts w:ascii="GHEA Grapalat" w:eastAsia="GHEA Grapalat" w:hAnsi="GHEA Grapalat" w:cs="GHEA Grapalat"/>
          <w:sz w:val="22"/>
          <w:szCs w:val="22"/>
        </w:rPr>
      </w:pPr>
    </w:p>
    <w:p w:rsidR="00BE5695" w:rsidRPr="00CB15FF" w:rsidRDefault="00825352" w:rsidP="00BE5695">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Արտաքին առևտուրն ըստ գործընկեր երկրների:</w:t>
      </w:r>
      <w:r w:rsidRPr="00CB15FF">
        <w:rPr>
          <w:rFonts w:ascii="GHEA Grapalat" w:hAnsi="GHEA Grapalat" w:cs="GHEA Grapalat"/>
          <w:sz w:val="22"/>
          <w:szCs w:val="22"/>
          <w:lang w:val="hy-AM"/>
        </w:rPr>
        <w:t xml:space="preserve"> </w:t>
      </w:r>
      <w:r w:rsidR="00BE5695" w:rsidRPr="00CB15FF">
        <w:rPr>
          <w:rFonts w:ascii="GHEA Grapalat" w:eastAsia="GHEA Grapalat" w:hAnsi="GHEA Grapalat" w:cs="GHEA Grapalat"/>
          <w:sz w:val="22"/>
          <w:szCs w:val="22"/>
        </w:rPr>
        <w:t>2022 թվականի հունվար-սեպտեմբեր ամիսներին արտաքին առևտրաշրջանառության աշխարհագրական կառուցվածքը որոշ չափով փոփոխվել է։ Արտաքին առևտրի կառուցվածքում ԵԱՏՄ-ի և այլ երկրների դերը բարձրացել է, իսկ</w:t>
      </w:r>
      <w:r w:rsidR="00AA1BA3" w:rsidRPr="00CB15FF">
        <w:rPr>
          <w:rFonts w:ascii="GHEA Grapalat" w:eastAsia="GHEA Grapalat" w:hAnsi="GHEA Grapalat" w:cs="GHEA Grapalat"/>
          <w:sz w:val="22"/>
          <w:szCs w:val="22"/>
        </w:rPr>
        <w:t xml:space="preserve"> </w:t>
      </w:r>
      <w:r w:rsidR="00BE5695" w:rsidRPr="00CB15FF">
        <w:rPr>
          <w:rFonts w:ascii="GHEA Grapalat" w:eastAsia="GHEA Grapalat" w:hAnsi="GHEA Grapalat" w:cs="GHEA Grapalat"/>
          <w:sz w:val="22"/>
          <w:szCs w:val="22"/>
        </w:rPr>
        <w:t>ԵՄ-ի դերը՝ նվազել։ ՀՀ արտաքին առևտրաշրջանառության 37.4%-ը բաժին է ընկել ԱՊՀ (որից 36.2</w:t>
      </w:r>
      <w:r w:rsidR="00A8682C" w:rsidRPr="00CB15FF">
        <w:rPr>
          <w:rFonts w:ascii="GHEA Grapalat" w:eastAsia="GHEA Grapalat" w:hAnsi="GHEA Grapalat" w:cs="GHEA Grapalat"/>
          <w:sz w:val="22"/>
          <w:szCs w:val="22"/>
        </w:rPr>
        <w:t xml:space="preserve">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կետը` ԵԱՏՄ), 17%-ը` ԵՄ և 45.6%-ը` այլ երկրներին: ՀՀ արտաքին առևտրաշրջանառության մեջ ԱՊՀ երկրների կշիռ</w:t>
      </w:r>
      <w:r w:rsidR="00A8682C" w:rsidRPr="00CB15FF">
        <w:rPr>
          <w:rFonts w:ascii="GHEA Grapalat" w:eastAsia="GHEA Grapalat" w:hAnsi="GHEA Grapalat" w:cs="GHEA Grapalat"/>
          <w:sz w:val="22"/>
          <w:szCs w:val="22"/>
        </w:rPr>
        <w:t>ն</w:t>
      </w:r>
      <w:r w:rsidR="00BE5695" w:rsidRPr="00CB15FF">
        <w:rPr>
          <w:rFonts w:ascii="GHEA Grapalat" w:eastAsia="GHEA Grapalat" w:hAnsi="GHEA Grapalat" w:cs="GHEA Grapalat"/>
          <w:sz w:val="22"/>
          <w:szCs w:val="22"/>
        </w:rPr>
        <w:t xml:space="preserve"> ավելացել է 2</w:t>
      </w:r>
      <w:r w:rsidR="00A8682C" w:rsidRPr="00CB15FF">
        <w:rPr>
          <w:rFonts w:ascii="GHEA Grapalat" w:eastAsia="GHEA Grapalat" w:hAnsi="GHEA Grapalat" w:cs="GHEA Grapalat"/>
          <w:sz w:val="22"/>
          <w:szCs w:val="22"/>
        </w:rPr>
        <w:t>.</w:t>
      </w:r>
      <w:r w:rsidR="00BE5695" w:rsidRPr="00CB15FF">
        <w:rPr>
          <w:rFonts w:ascii="GHEA Grapalat" w:eastAsia="GHEA Grapalat" w:hAnsi="GHEA Grapalat" w:cs="GHEA Grapalat"/>
          <w:sz w:val="22"/>
          <w:szCs w:val="22"/>
        </w:rPr>
        <w:t>8</w:t>
      </w:r>
      <w:r w:rsidR="00A8682C" w:rsidRPr="00CB15FF">
        <w:rPr>
          <w:rFonts w:ascii="GHEA Grapalat" w:eastAsia="GHEA Grapalat" w:hAnsi="GHEA Grapalat" w:cs="GHEA Grapalat"/>
          <w:sz w:val="22"/>
          <w:szCs w:val="22"/>
        </w:rPr>
        <w:t xml:space="preserve">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 ԵԱՏՄ-</w:t>
      </w:r>
      <w:r w:rsidR="00A8682C" w:rsidRPr="00CB15FF">
        <w:rPr>
          <w:rFonts w:ascii="GHEA Grapalat" w:eastAsia="GHEA Grapalat" w:hAnsi="GHEA Grapalat" w:cs="GHEA Grapalat"/>
          <w:sz w:val="22"/>
          <w:szCs w:val="22"/>
        </w:rPr>
        <w:t>ի</w:t>
      </w:r>
      <w:r w:rsidR="00BE5695" w:rsidRPr="00CB15FF">
        <w:rPr>
          <w:rFonts w:ascii="GHEA Grapalat" w:eastAsia="GHEA Grapalat" w:hAnsi="GHEA Grapalat" w:cs="GHEA Grapalat"/>
          <w:sz w:val="22"/>
          <w:szCs w:val="22"/>
        </w:rPr>
        <w:t>ն</w:t>
      </w:r>
      <w:r w:rsidR="00A8682C" w:rsidRPr="00CB15FF">
        <w:rPr>
          <w:rFonts w:ascii="GHEA Grapalat" w:eastAsia="GHEA Grapalat" w:hAnsi="GHEA Grapalat" w:cs="GHEA Grapalat"/>
          <w:sz w:val="22"/>
          <w:szCs w:val="22"/>
        </w:rPr>
        <w:t>ը</w:t>
      </w:r>
      <w:r w:rsidR="00BE5695" w:rsidRPr="00CB15FF">
        <w:rPr>
          <w:rFonts w:ascii="GHEA Grapalat" w:eastAsia="GHEA Grapalat" w:hAnsi="GHEA Grapalat" w:cs="GHEA Grapalat"/>
          <w:sz w:val="22"/>
          <w:szCs w:val="22"/>
        </w:rPr>
        <w:t>՝ 4.0</w:t>
      </w:r>
      <w:r w:rsidR="00A8682C" w:rsidRPr="00CB15FF">
        <w:rPr>
          <w:rFonts w:ascii="GHEA Grapalat" w:eastAsia="GHEA Grapalat" w:hAnsi="GHEA Grapalat" w:cs="GHEA Grapalat"/>
          <w:sz w:val="22"/>
          <w:szCs w:val="22"/>
        </w:rPr>
        <w:t xml:space="preserve">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 (ՌԴ՝ 3.5), այլ երկրներինը՝ 0.1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 իսկ ԵՄ-ի կշիռը նվազել է 2.9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w:t>
      </w:r>
    </w:p>
    <w:p w:rsidR="00825352" w:rsidRPr="00CB15FF" w:rsidRDefault="00BE5695" w:rsidP="00BE569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ՀՀ խոշոր առևտրային գործընկեր</w:t>
      </w:r>
      <w:r w:rsidR="00A8682C" w:rsidRPr="00CB15FF">
        <w:rPr>
          <w:rFonts w:ascii="GHEA Grapalat" w:eastAsia="GHEA Grapalat" w:hAnsi="GHEA Grapalat" w:cs="GHEA Grapalat"/>
          <w:sz w:val="22"/>
          <w:szCs w:val="22"/>
        </w:rPr>
        <w:t xml:space="preserve"> </w:t>
      </w:r>
      <w:r w:rsidR="00360A9D" w:rsidRPr="00CB15FF">
        <w:rPr>
          <w:rFonts w:ascii="GHEA Grapalat" w:eastAsia="GHEA Grapalat" w:hAnsi="GHEA Grapalat" w:cs="GHEA Grapalat"/>
          <w:sz w:val="22"/>
          <w:szCs w:val="22"/>
        </w:rPr>
        <w:t xml:space="preserve">ՌԴ </w:t>
      </w:r>
      <w:r w:rsidRPr="00CB15FF">
        <w:rPr>
          <w:rFonts w:ascii="GHEA Grapalat" w:eastAsia="GHEA Grapalat" w:hAnsi="GHEA Grapalat" w:cs="GHEA Grapalat"/>
          <w:sz w:val="22"/>
          <w:szCs w:val="22"/>
        </w:rPr>
        <w:t>հետ առևտրաշրջանառության ծավալները հաշվետու ժամանակաշրջանում սկսել են ար</w:t>
      </w:r>
      <w:r w:rsidR="00A8682C" w:rsidRPr="00CB15FF">
        <w:rPr>
          <w:rFonts w:ascii="GHEA Grapalat" w:eastAsia="GHEA Grapalat" w:hAnsi="GHEA Grapalat" w:cs="GHEA Grapalat"/>
          <w:sz w:val="22"/>
          <w:szCs w:val="22"/>
        </w:rPr>
        <w:t>ա</w:t>
      </w:r>
      <w:r w:rsidRPr="00CB15FF">
        <w:rPr>
          <w:rFonts w:ascii="GHEA Grapalat" w:eastAsia="GHEA Grapalat" w:hAnsi="GHEA Grapalat" w:cs="GHEA Grapalat"/>
          <w:sz w:val="22"/>
          <w:szCs w:val="22"/>
        </w:rPr>
        <w:t>գանալ, մասնավորապես՝ սեպտեմբեր ամսին արտահանումը դեպի ՌԴ աճել է շուրջ 5 անգամ, իսկ ներմուծումը` 25.3%-ով: 2022 թվականի ինն ամիսներին</w:t>
      </w:r>
      <w:r w:rsidR="00360A9D" w:rsidRPr="00CB15FF">
        <w:rPr>
          <w:rFonts w:ascii="GHEA Grapalat" w:eastAsia="GHEA Grapalat" w:hAnsi="GHEA Grapalat" w:cs="GHEA Grapalat"/>
          <w:sz w:val="22"/>
          <w:szCs w:val="22"/>
        </w:rPr>
        <w:t xml:space="preserve"> ՌԴ </w:t>
      </w:r>
      <w:r w:rsidRPr="00CB15FF">
        <w:rPr>
          <w:rFonts w:ascii="GHEA Grapalat" w:eastAsia="GHEA Grapalat" w:hAnsi="GHEA Grapalat" w:cs="GHEA Grapalat"/>
          <w:sz w:val="22"/>
          <w:szCs w:val="22"/>
        </w:rPr>
        <w:t xml:space="preserve">կշիռը կազմել է ՀՀ առևտրաշրջանառության 34.5%-ը: ՀՀ խոշոր առևտրային գործընկերների </w:t>
      </w:r>
      <w:r w:rsidRPr="00CB15FF">
        <w:rPr>
          <w:rFonts w:ascii="GHEA Grapalat" w:eastAsia="GHEA Grapalat" w:hAnsi="GHEA Grapalat" w:cs="GHEA Grapalat"/>
          <w:sz w:val="22"/>
          <w:szCs w:val="22"/>
        </w:rPr>
        <w:lastRenderedPageBreak/>
        <w:t>շրջանակում ընդգրկված են նաև Չինաստանը (13%), Իրանը (5.3%), Գերմանիան (3.6%), Արաբական Միացյալ Էմիրություններ</w:t>
      </w:r>
      <w:r w:rsidR="00A8682C" w:rsidRPr="00CB15FF">
        <w:rPr>
          <w:rFonts w:ascii="GHEA Grapalat" w:eastAsia="GHEA Grapalat" w:hAnsi="GHEA Grapalat" w:cs="GHEA Grapalat"/>
          <w:sz w:val="22"/>
          <w:szCs w:val="22"/>
        </w:rPr>
        <w:t>ը</w:t>
      </w:r>
      <w:r w:rsidRPr="00CB15FF">
        <w:rPr>
          <w:rFonts w:ascii="GHEA Grapalat" w:eastAsia="GHEA Grapalat" w:hAnsi="GHEA Grapalat" w:cs="GHEA Grapalat"/>
          <w:sz w:val="22"/>
          <w:szCs w:val="22"/>
        </w:rPr>
        <w:t xml:space="preserve"> (3.4%) և ԱՄՆ-ն (3%) և այլն:</w:t>
      </w:r>
    </w:p>
    <w:p w:rsidR="00BE5695" w:rsidRPr="00CB15FF" w:rsidRDefault="00BE5695" w:rsidP="00BE569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b/>
          <w:i/>
          <w:sz w:val="22"/>
          <w:szCs w:val="22"/>
        </w:rPr>
        <w:t>Զբոսաշրջություն:</w:t>
      </w:r>
      <w:r w:rsidRPr="00CB15FF">
        <w:rPr>
          <w:rFonts w:ascii="GHEA Grapalat" w:eastAsia="GHEA Grapalat" w:hAnsi="GHEA Grapalat" w:cs="GHEA Grapalat"/>
          <w:b/>
          <w:sz w:val="22"/>
          <w:szCs w:val="22"/>
        </w:rPr>
        <w:t xml:space="preserve"> </w:t>
      </w:r>
      <w:r w:rsidRPr="00CB15FF">
        <w:rPr>
          <w:rFonts w:ascii="GHEA Grapalat" w:eastAsia="GHEA Grapalat" w:hAnsi="GHEA Grapalat" w:cs="GHEA Grapalat"/>
          <w:sz w:val="22"/>
          <w:szCs w:val="22"/>
        </w:rPr>
        <w:t>2022</w:t>
      </w:r>
      <w:r w:rsidR="00A8682C"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A8682C" w:rsidRPr="00CB15FF">
        <w:rPr>
          <w:rFonts w:ascii="GHEA Grapalat" w:eastAsia="GHEA Grapalat" w:hAnsi="GHEA Grapalat" w:cs="GHEA Grapalat"/>
          <w:sz w:val="22"/>
          <w:szCs w:val="22"/>
        </w:rPr>
        <w:t>վականի</w:t>
      </w:r>
      <w:r w:rsidRPr="00CB15FF">
        <w:rPr>
          <w:rFonts w:ascii="GHEA Grapalat" w:eastAsia="GHEA Grapalat" w:hAnsi="GHEA Grapalat" w:cs="GHEA Grapalat"/>
          <w:sz w:val="22"/>
          <w:szCs w:val="22"/>
        </w:rPr>
        <w:t xml:space="preserve"> հունվար-սեպտեմբեր ամիսներին ՀՀ զբոսաշրջության թե՛ ներհոսքը, թե՛ արտահոսքը կտրուկ աճել են: 2022 թվականի ինն ամիսներին ՀՀ այցելած զբոսաշրջիկների թիվը կազմել է շուրջ 1239 հազար մարդ՝ նախորդ տարվա համապատասխան ժամանակահատվածի համեմատ ավելանալով շուրջ 2 անգամ (շուրջ 624 հազար մարդով), իսկ ՀՀ</w:t>
      </w:r>
      <w:r w:rsidR="00A8682C" w:rsidRPr="00CB15FF">
        <w:rPr>
          <w:rFonts w:ascii="GHEA Grapalat" w:eastAsia="GHEA Grapalat" w:hAnsi="GHEA Grapalat" w:cs="GHEA Grapalat"/>
          <w:sz w:val="22"/>
          <w:szCs w:val="22"/>
        </w:rPr>
        <w:noBreakHyphen/>
      </w:r>
      <w:r w:rsidRPr="00CB15FF">
        <w:rPr>
          <w:rFonts w:ascii="GHEA Grapalat" w:eastAsia="GHEA Grapalat" w:hAnsi="GHEA Grapalat" w:cs="GHEA Grapalat"/>
          <w:sz w:val="22"/>
          <w:szCs w:val="22"/>
        </w:rPr>
        <w:t>ից մեկնած զբոսաշրջիկների թվաքանակը կազմել է շուրջ 800 հազար՝ աճելով</w:t>
      </w:r>
      <w:r w:rsidR="00AA1BA3"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2.7 անգամ (շուրջ 505 հազար մարդով): Ռուս-ուկրաինական հակամարտության, ՌԴ դեմ կիրառված աննախադեպ պատժամիջոցների և ՌԴ կողմից սեպտեմբերին հայտարարված մասնակի մոբիլիզացիայի արդյունքում ինն ամիսների ընթացքում ՀՀ այցելած ՌԴ զբոսաշրջիկների թվաքանակը կազմել է շուրջ 571 հազար՝ աճելով 2.4 անգամ (շուրջ 332 հազար մարդով):</w:t>
      </w:r>
    </w:p>
    <w:p w:rsidR="00825352" w:rsidRPr="00CB15FF" w:rsidRDefault="00825352" w:rsidP="00AE6DFB">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Դրամական փոխանցումներ</w:t>
      </w:r>
      <w:r w:rsidRPr="00CB15FF">
        <w:rPr>
          <w:rFonts w:ascii="GHEA Grapalat" w:hAnsi="GHEA Grapalat" w:cs="GHEA Grapalat"/>
          <w:b/>
          <w:i/>
          <w:sz w:val="22"/>
          <w:szCs w:val="22"/>
          <w:vertAlign w:val="superscript"/>
          <w:lang w:val="hy-AM"/>
        </w:rPr>
        <w:footnoteReference w:id="23"/>
      </w:r>
      <w:r w:rsidRPr="00CB15FF">
        <w:rPr>
          <w:rFonts w:ascii="GHEA Grapalat" w:hAnsi="GHEA Grapalat" w:cs="GHEA Grapalat"/>
          <w:b/>
          <w:i/>
          <w:sz w:val="22"/>
          <w:szCs w:val="22"/>
          <w:lang w:val="hy-AM"/>
        </w:rPr>
        <w:t>:</w:t>
      </w:r>
      <w:r w:rsidR="00380573" w:rsidRPr="00CB15FF">
        <w:rPr>
          <w:rFonts w:ascii="GHEA Grapalat" w:hAnsi="GHEA Grapalat" w:cs="GHEA Grapalat"/>
          <w:sz w:val="22"/>
          <w:szCs w:val="22"/>
          <w:lang w:val="hy-AM"/>
        </w:rPr>
        <w:t xml:space="preserve"> </w:t>
      </w:r>
      <w:r w:rsidR="00C327A4" w:rsidRPr="00CB15FF">
        <w:rPr>
          <w:rFonts w:ascii="GHEA Grapalat" w:eastAsia="GHEA Grapalat" w:hAnsi="GHEA Grapalat" w:cs="GHEA Grapalat"/>
          <w:sz w:val="22"/>
          <w:szCs w:val="22"/>
        </w:rPr>
        <w:t xml:space="preserve">Տարեսկզբից նկատվում </w:t>
      </w:r>
      <w:r w:rsidR="00A8682C" w:rsidRPr="00CB15FF">
        <w:rPr>
          <w:rFonts w:ascii="GHEA Grapalat" w:eastAsia="GHEA Grapalat" w:hAnsi="GHEA Grapalat" w:cs="GHEA Grapalat"/>
          <w:sz w:val="22"/>
          <w:szCs w:val="22"/>
        </w:rPr>
        <w:t>է</w:t>
      </w:r>
      <w:r w:rsidR="00C327A4" w:rsidRPr="00CB15FF">
        <w:rPr>
          <w:rFonts w:ascii="GHEA Grapalat" w:eastAsia="GHEA Grapalat" w:hAnsi="GHEA Grapalat" w:cs="GHEA Grapalat"/>
          <w:sz w:val="22"/>
          <w:szCs w:val="22"/>
        </w:rPr>
        <w:t xml:space="preserve"> ՀՀ բանկերի միջոցով ֆիզիկական անձանց անունով արտերկրից ստացված զուտ փոխանցումների զգալի աճ՝ պայմանավորված ինչպես տրանսֆերտների ներհոսքով, այնպես էլ ռուս-ուկրաինական հակամարտության արդյունքում ՌԴ-ից դեպի ՀՀ փոխանցվող այլ դրամական հոսքերով։ Տնտեսություն ներհոսող դրամական զուտ փոխանցումները (առևտրային և ոչ առևտրային բնույթի) 2022 թվականի հունվար-սեպտեմբեր ամիսներին կազմել են շուրջ 1.7 մլրդ դոլար՝ նախորդ տարվա համապատասխան ժամանակահատվածի նկատմամբ աճելով 155.8%-ով: Փոխանցումների մեջ մեծ դեր </w:t>
      </w:r>
      <w:r w:rsidR="002C453A" w:rsidRPr="00CB15FF">
        <w:rPr>
          <w:rFonts w:ascii="GHEA Grapalat" w:eastAsia="GHEA Grapalat" w:hAnsi="GHEA Grapalat" w:cs="GHEA Grapalat"/>
          <w:sz w:val="22"/>
          <w:szCs w:val="22"/>
        </w:rPr>
        <w:t>են</w:t>
      </w:r>
      <w:r w:rsidR="00C327A4" w:rsidRPr="00CB15FF">
        <w:rPr>
          <w:rFonts w:ascii="GHEA Grapalat" w:eastAsia="GHEA Grapalat" w:hAnsi="GHEA Grapalat" w:cs="GHEA Grapalat"/>
          <w:sz w:val="22"/>
          <w:szCs w:val="22"/>
        </w:rPr>
        <w:t xml:space="preserve"> ունեցել ՌԴ</w:t>
      </w:r>
      <w:r w:rsidR="002C453A" w:rsidRPr="00CB15FF">
        <w:rPr>
          <w:rFonts w:ascii="GHEA Grapalat" w:eastAsia="GHEA Grapalat" w:hAnsi="GHEA Grapalat" w:cs="GHEA Grapalat"/>
          <w:sz w:val="22"/>
          <w:szCs w:val="22"/>
        </w:rPr>
        <w:noBreakHyphen/>
      </w:r>
      <w:r w:rsidR="00C327A4" w:rsidRPr="00CB15FF">
        <w:rPr>
          <w:rFonts w:ascii="GHEA Grapalat" w:eastAsia="GHEA Grapalat" w:hAnsi="GHEA Grapalat" w:cs="GHEA Grapalat"/>
          <w:sz w:val="22"/>
          <w:szCs w:val="22"/>
        </w:rPr>
        <w:t>ից շուրջ 2 մլրդ դոլար զուտ փոխանցումները:</w:t>
      </w:r>
    </w:p>
    <w:p w:rsidR="00180A83" w:rsidRPr="00CB15FF" w:rsidRDefault="00180A83" w:rsidP="00180A83">
      <w:pPr>
        <w:spacing w:line="360" w:lineRule="auto"/>
        <w:ind w:firstLine="567"/>
        <w:jc w:val="both"/>
        <w:rPr>
          <w:rFonts w:ascii="GHEA Grapalat" w:hAnsi="GHEA Grapalat" w:cs="GHEA Grapalat"/>
          <w:sz w:val="22"/>
          <w:szCs w:val="22"/>
          <w:lang w:val="hy-AM"/>
        </w:rPr>
      </w:pPr>
    </w:p>
    <w:p w:rsidR="00180A83" w:rsidRPr="00CB15FF" w:rsidRDefault="00180A83" w:rsidP="00180A83">
      <w:pPr>
        <w:pStyle w:val="Heading6"/>
        <w:ind w:left="567"/>
        <w:rPr>
          <w:rFonts w:ascii="GHEA Grapalat" w:hAnsi="GHEA Grapalat"/>
          <w:b/>
          <w:sz w:val="22"/>
          <w:szCs w:val="22"/>
          <w:u w:val="none"/>
        </w:rPr>
      </w:pPr>
      <w:r w:rsidRPr="00CB15FF">
        <w:rPr>
          <w:rFonts w:ascii="GHEA Grapalat" w:hAnsi="GHEA Grapalat"/>
          <w:b/>
          <w:sz w:val="22"/>
          <w:szCs w:val="22"/>
          <w:u w:val="none"/>
        </w:rPr>
        <w:t>Արժութային շուկա և փոխարժեքներ</w:t>
      </w:r>
    </w:p>
    <w:p w:rsidR="00180A83" w:rsidRPr="000F6B0F" w:rsidRDefault="00180A83" w:rsidP="00F31924">
      <w:pPr>
        <w:spacing w:line="360" w:lineRule="auto"/>
        <w:ind w:firstLine="567"/>
        <w:jc w:val="both"/>
        <w:rPr>
          <w:rFonts w:ascii="GHEA Grapalat" w:eastAsia="GHEA Grapalat" w:hAnsi="GHEA Grapalat" w:cs="GHEA Grapalat"/>
          <w:sz w:val="22"/>
          <w:szCs w:val="22"/>
          <w:lang w:val="hy-AM"/>
        </w:rPr>
      </w:pPr>
      <w:r w:rsidRPr="00CB15FF">
        <w:rPr>
          <w:rFonts w:ascii="GHEA Grapalat" w:hAnsi="GHEA Grapalat" w:cs="GHEA Grapalat"/>
          <w:b/>
          <w:i/>
          <w:sz w:val="22"/>
          <w:szCs w:val="22"/>
          <w:lang w:val="hy-AM"/>
        </w:rPr>
        <w:t>Արժութային շուկա։</w:t>
      </w:r>
      <w:r w:rsidR="00C327A4" w:rsidRPr="000F6B0F">
        <w:rPr>
          <w:rFonts w:ascii="GHEA Grapalat" w:eastAsia="GHEA Grapalat" w:hAnsi="GHEA Grapalat" w:cs="GHEA Grapalat"/>
          <w:b/>
          <w:sz w:val="22"/>
          <w:szCs w:val="22"/>
          <w:lang w:val="hy-AM"/>
        </w:rPr>
        <w:t xml:space="preserve"> </w:t>
      </w:r>
      <w:r w:rsidR="00C327A4" w:rsidRPr="000F6B0F">
        <w:rPr>
          <w:rFonts w:ascii="GHEA Grapalat" w:eastAsia="GHEA Grapalat" w:hAnsi="GHEA Grapalat" w:cs="GHEA Grapalat"/>
          <w:sz w:val="22"/>
          <w:szCs w:val="22"/>
          <w:lang w:val="hy-AM"/>
        </w:rPr>
        <w:t>ՀՀ արժութային շուկայի շրջանառության ծավալները 2022</w:t>
      </w:r>
      <w:r w:rsidR="002C453A" w:rsidRPr="000F6B0F">
        <w:rPr>
          <w:rFonts w:ascii="GHEA Grapalat" w:eastAsia="GHEA Grapalat" w:hAnsi="GHEA Grapalat" w:cs="GHEA Grapalat"/>
          <w:sz w:val="22"/>
          <w:szCs w:val="22"/>
          <w:lang w:val="hy-AM"/>
        </w:rPr>
        <w:t xml:space="preserve"> </w:t>
      </w:r>
      <w:r w:rsidR="00C327A4" w:rsidRPr="000F6B0F">
        <w:rPr>
          <w:rFonts w:ascii="GHEA Grapalat" w:eastAsia="GHEA Grapalat" w:hAnsi="GHEA Grapalat" w:cs="GHEA Grapalat"/>
          <w:sz w:val="22"/>
          <w:szCs w:val="22"/>
          <w:lang w:val="hy-AM"/>
        </w:rPr>
        <w:t>թ</w:t>
      </w:r>
      <w:r w:rsidR="002C453A" w:rsidRPr="000F6B0F">
        <w:rPr>
          <w:rFonts w:ascii="GHEA Grapalat" w:eastAsia="GHEA Grapalat" w:hAnsi="GHEA Grapalat" w:cs="GHEA Grapalat"/>
          <w:sz w:val="22"/>
          <w:szCs w:val="22"/>
          <w:lang w:val="hy-AM"/>
        </w:rPr>
        <w:t>վական</w:t>
      </w:r>
      <w:r w:rsidR="00C327A4" w:rsidRPr="000F6B0F">
        <w:rPr>
          <w:rFonts w:ascii="GHEA Grapalat" w:eastAsia="GHEA Grapalat" w:hAnsi="GHEA Grapalat" w:cs="GHEA Grapalat"/>
          <w:sz w:val="22"/>
          <w:szCs w:val="22"/>
          <w:lang w:val="hy-AM"/>
        </w:rPr>
        <w:t>ի մարտից սկսած մեծ տեմպերով ավելացել են: Ընդ որում</w:t>
      </w:r>
      <w:r w:rsidR="002C453A" w:rsidRPr="000F6B0F">
        <w:rPr>
          <w:rFonts w:ascii="GHEA Grapalat" w:eastAsia="GHEA Grapalat" w:hAnsi="GHEA Grapalat" w:cs="GHEA Grapalat"/>
          <w:sz w:val="22"/>
          <w:szCs w:val="22"/>
          <w:lang w:val="hy-AM"/>
        </w:rPr>
        <w:t xml:space="preserve">, </w:t>
      </w:r>
      <w:r w:rsidR="00C327A4" w:rsidRPr="000F6B0F">
        <w:rPr>
          <w:rFonts w:ascii="GHEA Grapalat" w:eastAsia="GHEA Grapalat" w:hAnsi="GHEA Grapalat" w:cs="GHEA Grapalat"/>
          <w:sz w:val="22"/>
          <w:szCs w:val="22"/>
          <w:lang w:val="hy-AM"/>
        </w:rPr>
        <w:t xml:space="preserve">մարտ և ապրիլ ամիսներին այն դրսևորվել է բանկերի կողմից վաճառքի ծավալները գերազանցող առքի ծավալներով, ապա մայիս, հունիս և հուլիս ամիսներին առքի և վաճառքի ծավալներն իրար ավելի մոտ են եղել, իսկ օգոստոս և սեպտեմբեր ամիսներին կրկին առքի ծավալները սկսել են գերազանցել վաճառքինը։ Միաժամանակ, եթե մարտ և ապրիլ ամիսներին բանկերի կողմից լրացուցիչ ձեռքբերումները եղել են ԱՄՆ դոլարով, ապա մայիս ամսից սկսած՝ կտրուկ աճել է ռուսական ռուբլու առքի ծավալը՝ զգալիորեն գերազանցելով </w:t>
      </w:r>
      <w:r w:rsidR="00C327A4" w:rsidRPr="000F6B0F">
        <w:rPr>
          <w:rFonts w:ascii="GHEA Grapalat" w:eastAsia="GHEA Grapalat" w:hAnsi="GHEA Grapalat" w:cs="GHEA Grapalat"/>
          <w:sz w:val="22"/>
          <w:szCs w:val="22"/>
          <w:lang w:val="hy-AM"/>
        </w:rPr>
        <w:lastRenderedPageBreak/>
        <w:t>վաճառքի ծավալները։ Նշված զարգացումների պայմաններում ՀՀ ԿԲ-ն արժութային շուկայում իրականացրել է արտարժույթի ձեռքբերումներ:</w:t>
      </w:r>
    </w:p>
    <w:p w:rsidR="00C327A4" w:rsidRPr="000F6B0F" w:rsidRDefault="00C327A4" w:rsidP="00F31924">
      <w:pPr>
        <w:spacing w:line="360" w:lineRule="auto"/>
        <w:ind w:firstLine="567"/>
        <w:jc w:val="both"/>
        <w:rPr>
          <w:rFonts w:ascii="GHEA Grapalat" w:eastAsia="GHEA Grapalat" w:hAnsi="GHEA Grapalat" w:cs="GHEA Grapalat"/>
          <w:sz w:val="22"/>
          <w:szCs w:val="22"/>
          <w:lang w:val="hy-AM"/>
        </w:rPr>
      </w:pPr>
    </w:p>
    <w:p w:rsidR="00C327A4" w:rsidRPr="00CB15FF" w:rsidRDefault="00C327A4" w:rsidP="00594346">
      <w:pPr>
        <w:pStyle w:val="a"/>
        <w:ind w:left="0" w:firstLine="0"/>
        <w:rPr>
          <w:b/>
        </w:rPr>
      </w:pPr>
      <w:r w:rsidRPr="00CB15FF">
        <w:rPr>
          <w:rStyle w:val="Char0"/>
        </w:rPr>
        <w:t xml:space="preserve">ՀՀ </w:t>
      </w:r>
      <w:r w:rsidRPr="00CB15FF">
        <w:t>արժութային</w:t>
      </w:r>
      <w:r w:rsidRPr="00CB15FF">
        <w:rPr>
          <w:rStyle w:val="Char0"/>
        </w:rPr>
        <w:t xml:space="preserve"> (ներբանկային) շուկայի շրջանառության տվյալներ</w:t>
      </w:r>
      <w:r w:rsidRPr="000F6B0F">
        <w:rPr>
          <w:rStyle w:val="Char0"/>
        </w:rPr>
        <w:t>ն</w:t>
      </w:r>
      <w:r w:rsidRPr="00CB15FF">
        <w:rPr>
          <w:rStyle w:val="Char0"/>
        </w:rPr>
        <w:t xml:space="preserve"> ըստ դրամային</w:t>
      </w:r>
      <w:r w:rsidRPr="00CB15FF">
        <w:t xml:space="preserve"> </w:t>
      </w:r>
      <w:r w:rsidRPr="00CB15FF">
        <w:rPr>
          <w:rStyle w:val="Char0"/>
        </w:rPr>
        <w:t>համարժեքների, մլրդ դրամ</w:t>
      </w:r>
      <w:r w:rsidRPr="00CB15FF">
        <w:rPr>
          <w:b/>
          <w:vertAlign w:val="superscript"/>
        </w:rPr>
        <w:footnoteReference w:id="24"/>
      </w:r>
    </w:p>
    <w:p w:rsidR="00C327A4" w:rsidRPr="00CB15FF" w:rsidRDefault="00C327A4" w:rsidP="00C327A4">
      <w:pPr>
        <w:spacing w:line="360" w:lineRule="auto"/>
        <w:jc w:val="both"/>
        <w:rPr>
          <w:rFonts w:ascii="GHEA Grapalat" w:eastAsia="GHEA Grapalat" w:hAnsi="GHEA Grapalat" w:cs="GHEA Grapalat"/>
          <w:b/>
          <w:i/>
          <w:iCs/>
          <w:sz w:val="22"/>
          <w:szCs w:val="22"/>
        </w:rPr>
      </w:pPr>
      <w:r w:rsidRPr="00CB15FF">
        <w:rPr>
          <w:noProof/>
        </w:rPr>
        <w:drawing>
          <wp:inline distT="0" distB="0" distL="0" distR="0" wp14:anchorId="4097241E" wp14:editId="015160FA">
            <wp:extent cx="6638925" cy="3019425"/>
            <wp:effectExtent l="0" t="0" r="0" b="0"/>
            <wp:docPr id="9" name="Chart 9">
              <a:extLst xmlns:a="http://schemas.openxmlformats.org/drawingml/2006/main">
                <a:ext uri="{FF2B5EF4-FFF2-40B4-BE49-F238E27FC236}">
                  <a16:creationId xmlns:a16="http://schemas.microsoft.com/office/drawing/2014/main" id="{CE8D9640-0200-418E-ACAB-845A4BA26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27A4" w:rsidRPr="00CB15FF" w:rsidRDefault="00C327A4" w:rsidP="00F31924">
      <w:pPr>
        <w:spacing w:line="360" w:lineRule="auto"/>
        <w:ind w:firstLine="567"/>
        <w:jc w:val="both"/>
        <w:rPr>
          <w:rFonts w:ascii="GHEA Grapalat" w:hAnsi="GHEA Grapalat" w:cs="GHEA Grapalat"/>
          <w:sz w:val="22"/>
          <w:szCs w:val="22"/>
          <w:lang w:val="hy-AM"/>
        </w:rPr>
      </w:pPr>
    </w:p>
    <w:p w:rsidR="00646A43" w:rsidRPr="000F6B0F" w:rsidRDefault="00AE25A7" w:rsidP="002C453A">
      <w:pPr>
        <w:spacing w:line="360" w:lineRule="auto"/>
        <w:ind w:firstLine="567"/>
        <w:jc w:val="both"/>
        <w:rPr>
          <w:rFonts w:ascii="GHEA Grapalat" w:eastAsia="GHEA Grapalat" w:hAnsi="GHEA Grapalat" w:cs="GHEA Grapalat"/>
          <w:sz w:val="22"/>
          <w:szCs w:val="22"/>
          <w:lang w:val="hy-AM"/>
        </w:rPr>
      </w:pPr>
      <w:bookmarkStart w:id="26" w:name="_Toc6389323"/>
      <w:bookmarkStart w:id="27" w:name="_Toc37763590"/>
      <w:r w:rsidRPr="00CB15FF">
        <w:rPr>
          <w:rFonts w:ascii="GHEA Grapalat" w:hAnsi="GHEA Grapalat" w:cs="GHEA Grapalat"/>
          <w:b/>
          <w:i/>
          <w:sz w:val="22"/>
          <w:szCs w:val="22"/>
          <w:lang w:val="hy-AM"/>
        </w:rPr>
        <w:t>Երկկողմանի փոխարժեքներ։</w:t>
      </w:r>
      <w:r w:rsidR="00646A43" w:rsidRPr="000F6B0F">
        <w:rPr>
          <w:rFonts w:ascii="GHEA Grapalat" w:hAnsi="GHEA Grapalat" w:cs="GHEA Grapalat"/>
          <w:b/>
          <w:i/>
          <w:sz w:val="22"/>
          <w:szCs w:val="22"/>
          <w:lang w:val="hy-AM"/>
        </w:rPr>
        <w:t xml:space="preserve"> </w:t>
      </w:r>
      <w:r w:rsidR="00646A43" w:rsidRPr="000F6B0F">
        <w:rPr>
          <w:rFonts w:ascii="GHEA Grapalat" w:eastAsia="GHEA Grapalat" w:hAnsi="GHEA Grapalat" w:cs="GHEA Grapalat"/>
          <w:sz w:val="22"/>
          <w:szCs w:val="22"/>
          <w:lang w:val="hy-AM"/>
        </w:rPr>
        <w:t>2022 թ</w:t>
      </w:r>
      <w:r w:rsidR="002C453A" w:rsidRPr="000F6B0F">
        <w:rPr>
          <w:rFonts w:ascii="GHEA Grapalat" w:eastAsia="GHEA Grapalat" w:hAnsi="GHEA Grapalat" w:cs="GHEA Grapalat"/>
          <w:sz w:val="22"/>
          <w:szCs w:val="22"/>
          <w:lang w:val="hy-AM"/>
        </w:rPr>
        <w:t>վականի</w:t>
      </w:r>
      <w:r w:rsidR="00646A43" w:rsidRPr="000F6B0F">
        <w:rPr>
          <w:rFonts w:ascii="GHEA Grapalat" w:eastAsia="GHEA Grapalat" w:hAnsi="GHEA Grapalat" w:cs="GHEA Grapalat"/>
          <w:sz w:val="22"/>
          <w:szCs w:val="22"/>
          <w:lang w:val="hy-AM"/>
        </w:rPr>
        <w:t xml:space="preserve"> ինն ամիսներին ՀՀ դրամը ԱՄՆ դոլարի և եվրոյի նկատմամբ դրսևորել է արժևորման վարքագիծ` պայմանավորված արտարժույթի նշանակալի ներհոսքով:</w:t>
      </w:r>
    </w:p>
    <w:p w:rsidR="00646A43" w:rsidRPr="000F6B0F" w:rsidRDefault="00646A43" w:rsidP="002C453A">
      <w:pPr>
        <w:spacing w:line="360" w:lineRule="auto"/>
        <w:ind w:firstLine="567"/>
        <w:jc w:val="both"/>
        <w:rPr>
          <w:rFonts w:ascii="GHEA Grapalat" w:eastAsia="GHEA Grapalat" w:hAnsi="GHEA Grapalat" w:cs="GHEA Grapalat"/>
          <w:sz w:val="22"/>
          <w:szCs w:val="22"/>
          <w:lang w:val="hy-AM"/>
        </w:rPr>
      </w:pPr>
      <w:r w:rsidRPr="000F6B0F">
        <w:rPr>
          <w:rFonts w:ascii="GHEA Grapalat" w:eastAsia="GHEA Grapalat" w:hAnsi="GHEA Grapalat" w:cs="GHEA Grapalat"/>
          <w:sz w:val="22"/>
          <w:szCs w:val="22"/>
          <w:lang w:val="hy-AM"/>
        </w:rPr>
        <w:t xml:space="preserve">ԱՄՆ դոլարի, եվրոյի և ռուսական ռուբլու նկատմամբ ՀՀ դրամը 2022 թվականի հունվար-սեպտեմբեր ամիսներին արժևորվել է </w:t>
      </w:r>
      <w:r w:rsidR="002C453A" w:rsidRPr="000F6B0F">
        <w:rPr>
          <w:rFonts w:ascii="GHEA Grapalat" w:eastAsia="GHEA Grapalat" w:hAnsi="GHEA Grapalat" w:cs="GHEA Grapalat"/>
          <w:sz w:val="22"/>
          <w:szCs w:val="22"/>
          <w:lang w:val="hy-AM"/>
        </w:rPr>
        <w:t>համապատասխանաբար</w:t>
      </w:r>
      <w:r w:rsidRPr="000F6B0F">
        <w:rPr>
          <w:rFonts w:ascii="GHEA Grapalat" w:eastAsia="GHEA Grapalat" w:hAnsi="GHEA Grapalat" w:cs="GHEA Grapalat"/>
          <w:sz w:val="22"/>
          <w:szCs w:val="22"/>
          <w:lang w:val="hy-AM"/>
        </w:rPr>
        <w:t xml:space="preserve"> 14.1%</w:t>
      </w:r>
      <w:r w:rsidR="002C453A" w:rsidRPr="000F6B0F">
        <w:rPr>
          <w:rFonts w:ascii="GHEA Grapalat" w:eastAsia="GHEA Grapalat" w:hAnsi="GHEA Grapalat" w:cs="GHEA Grapalat"/>
          <w:sz w:val="22"/>
          <w:szCs w:val="22"/>
          <w:lang w:val="hy-AM"/>
        </w:rPr>
        <w:t>-ով</w:t>
      </w:r>
      <w:r w:rsidRPr="000F6B0F">
        <w:rPr>
          <w:rFonts w:ascii="GHEA Grapalat" w:eastAsia="GHEA Grapalat" w:hAnsi="GHEA Grapalat" w:cs="GHEA Grapalat"/>
          <w:sz w:val="22"/>
          <w:szCs w:val="22"/>
          <w:lang w:val="hy-AM"/>
        </w:rPr>
        <w:t>, 27</w:t>
      </w:r>
      <w:r w:rsidR="002C453A" w:rsidRPr="000F6B0F">
        <w:rPr>
          <w:rFonts w:ascii="GHEA Grapalat" w:eastAsia="GHEA Grapalat" w:hAnsi="GHEA Grapalat" w:cs="GHEA Grapalat"/>
          <w:sz w:val="22"/>
          <w:szCs w:val="22"/>
          <w:lang w:val="hy-AM"/>
        </w:rPr>
        <w:t>.</w:t>
      </w:r>
      <w:r w:rsidRPr="000F6B0F">
        <w:rPr>
          <w:rFonts w:ascii="GHEA Grapalat" w:eastAsia="GHEA Grapalat" w:hAnsi="GHEA Grapalat" w:cs="GHEA Grapalat"/>
          <w:sz w:val="22"/>
          <w:szCs w:val="22"/>
          <w:lang w:val="hy-AM"/>
        </w:rPr>
        <w:t>7%</w:t>
      </w:r>
      <w:r w:rsidR="002C453A" w:rsidRPr="000F6B0F">
        <w:rPr>
          <w:rFonts w:ascii="GHEA Grapalat" w:eastAsia="GHEA Grapalat" w:hAnsi="GHEA Grapalat" w:cs="GHEA Grapalat"/>
          <w:sz w:val="22"/>
          <w:szCs w:val="22"/>
          <w:lang w:val="hy-AM"/>
        </w:rPr>
        <w:t>-ով</w:t>
      </w:r>
      <w:r w:rsidRPr="000F6B0F">
        <w:rPr>
          <w:rFonts w:ascii="GHEA Grapalat" w:eastAsia="GHEA Grapalat" w:hAnsi="GHEA Grapalat" w:cs="GHEA Grapalat"/>
          <w:sz w:val="22"/>
          <w:szCs w:val="22"/>
          <w:lang w:val="hy-AM"/>
        </w:rPr>
        <w:t xml:space="preserve"> և 5.9%-ով։ Տարվա ինն ամիսներին ԱՄՆ դոլարի և եվրոյի նկատմամբ ՀՀ դրամը տարեսկզբից մինչև փետրվարի վերջ հարաբերականորեն կայուն վարքագիծ է դրսևորել, որից հետո ռուս-ուկրաինական հակամարտության և</w:t>
      </w:r>
      <w:r w:rsidR="00A8682C" w:rsidRPr="000F6B0F">
        <w:rPr>
          <w:rFonts w:ascii="GHEA Grapalat" w:eastAsia="GHEA Grapalat" w:hAnsi="GHEA Grapalat" w:cs="GHEA Grapalat"/>
          <w:sz w:val="22"/>
          <w:szCs w:val="22"/>
          <w:lang w:val="hy-AM"/>
        </w:rPr>
        <w:t xml:space="preserve"> </w:t>
      </w:r>
      <w:r w:rsidR="00360A9D" w:rsidRPr="000F6B0F">
        <w:rPr>
          <w:rFonts w:ascii="GHEA Grapalat" w:eastAsia="GHEA Grapalat" w:hAnsi="GHEA Grapalat" w:cs="GHEA Grapalat"/>
          <w:sz w:val="22"/>
          <w:szCs w:val="22"/>
          <w:lang w:val="hy-AM"/>
        </w:rPr>
        <w:t xml:space="preserve">ՌԴ </w:t>
      </w:r>
      <w:r w:rsidRPr="000F6B0F">
        <w:rPr>
          <w:rFonts w:ascii="GHEA Grapalat" w:eastAsia="GHEA Grapalat" w:hAnsi="GHEA Grapalat" w:cs="GHEA Grapalat"/>
          <w:sz w:val="22"/>
          <w:szCs w:val="22"/>
          <w:lang w:val="hy-AM"/>
        </w:rPr>
        <w:t xml:space="preserve">նկատմամբ կիրառված պատժամիջոցների հետևանքով ձևավորված անորոշություններով պայմանավորված՝ կարճատև արժեզրկվել է մարտ ամսվա առաջին կեսին, այնուհետև սկսել է արագորեն արժևորվել՝ պայմանավորված արտարժույթի նշանակալի ներհոսքով։ </w:t>
      </w:r>
    </w:p>
    <w:p w:rsidR="001607A1" w:rsidRPr="0019482C" w:rsidRDefault="00646A43" w:rsidP="00646A43">
      <w:pPr>
        <w:spacing w:line="360" w:lineRule="auto"/>
        <w:ind w:firstLine="567"/>
        <w:jc w:val="both"/>
        <w:rPr>
          <w:rFonts w:ascii="GHEA Grapalat" w:eastAsia="GHEA Grapalat" w:hAnsi="GHEA Grapalat" w:cs="GHEA Grapalat"/>
          <w:sz w:val="22"/>
          <w:szCs w:val="22"/>
          <w:lang w:val="hy-AM"/>
        </w:rPr>
      </w:pPr>
      <w:r w:rsidRPr="0019482C">
        <w:rPr>
          <w:rFonts w:ascii="GHEA Grapalat" w:eastAsia="GHEA Grapalat" w:hAnsi="GHEA Grapalat" w:cs="GHEA Grapalat"/>
          <w:sz w:val="22"/>
          <w:szCs w:val="22"/>
          <w:lang w:val="hy-AM"/>
        </w:rPr>
        <w:t>Ռուբլու նկատմամբ դրամը դրսևորել է հայելային պատկեր</w:t>
      </w:r>
      <w:r w:rsidR="002C453A" w:rsidRPr="0019482C">
        <w:rPr>
          <w:rFonts w:ascii="GHEA Grapalat" w:eastAsia="GHEA Grapalat" w:hAnsi="GHEA Grapalat" w:cs="GHEA Grapalat"/>
          <w:sz w:val="22"/>
          <w:szCs w:val="22"/>
          <w:lang w:val="hy-AM"/>
        </w:rPr>
        <w:t>.</w:t>
      </w:r>
      <w:r w:rsidRPr="0019482C">
        <w:rPr>
          <w:rFonts w:ascii="GHEA Grapalat" w:eastAsia="GHEA Grapalat" w:hAnsi="GHEA Grapalat" w:cs="GHEA Grapalat"/>
          <w:sz w:val="22"/>
          <w:szCs w:val="22"/>
          <w:lang w:val="hy-AM"/>
        </w:rPr>
        <w:t xml:space="preserve"> տարեսկզբից կայուն վարքագիծ է նկատվել, այնուհետև փետրվարի վերջին տասնօրյակից մինչև մարտի երկրորդ տասնօրյակը կտրուկ տեմպերով արժևորվել է՝ պայմանավորված միջազգային շուկայում ռուսական ռուբլու դիրքի </w:t>
      </w:r>
      <w:r w:rsidRPr="0019482C">
        <w:rPr>
          <w:rFonts w:ascii="GHEA Grapalat" w:eastAsia="GHEA Grapalat" w:hAnsi="GHEA Grapalat" w:cs="GHEA Grapalat"/>
          <w:sz w:val="22"/>
          <w:szCs w:val="22"/>
          <w:lang w:val="hy-AM"/>
        </w:rPr>
        <w:lastRenderedPageBreak/>
        <w:t>թուլացմամբ:</w:t>
      </w:r>
      <w:r w:rsidR="00AA1BA3" w:rsidRPr="0019482C">
        <w:rPr>
          <w:rFonts w:ascii="GHEA Grapalat" w:eastAsia="GHEA Grapalat" w:hAnsi="GHEA Grapalat" w:cs="GHEA Grapalat"/>
          <w:sz w:val="22"/>
          <w:szCs w:val="22"/>
          <w:lang w:val="hy-AM"/>
        </w:rPr>
        <w:t xml:space="preserve"> </w:t>
      </w:r>
      <w:r w:rsidRPr="0019482C">
        <w:rPr>
          <w:rFonts w:ascii="GHEA Grapalat" w:eastAsia="GHEA Grapalat" w:hAnsi="GHEA Grapalat" w:cs="GHEA Grapalat"/>
          <w:sz w:val="22"/>
          <w:szCs w:val="22"/>
          <w:lang w:val="hy-AM"/>
        </w:rPr>
        <w:t>Այնուհետև մինչև հունիսի երկրորդ տասնօրյակ դրամը ռուբլու նկատմամբ դրսևորել է արժեզրկման միտումներ, ապա</w:t>
      </w:r>
      <w:r w:rsidR="000B6F7B" w:rsidRPr="0019482C">
        <w:rPr>
          <w:rFonts w:ascii="GHEA Grapalat" w:eastAsia="GHEA Grapalat" w:hAnsi="GHEA Grapalat" w:cs="GHEA Grapalat"/>
          <w:sz w:val="22"/>
          <w:szCs w:val="22"/>
          <w:lang w:val="hy-AM"/>
        </w:rPr>
        <w:t>՝</w:t>
      </w:r>
      <w:r w:rsidRPr="0019482C">
        <w:rPr>
          <w:rFonts w:ascii="GHEA Grapalat" w:eastAsia="GHEA Grapalat" w:hAnsi="GHEA Grapalat" w:cs="GHEA Grapalat"/>
          <w:sz w:val="22"/>
          <w:szCs w:val="22"/>
          <w:lang w:val="hy-AM"/>
        </w:rPr>
        <w:t xml:space="preserve"> ցուցաբերել որոշակիորեն կայուն վարքագիծ։</w:t>
      </w:r>
    </w:p>
    <w:p w:rsidR="001607A1" w:rsidRPr="0019482C" w:rsidRDefault="001607A1" w:rsidP="001607A1">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b/>
          <w:i/>
          <w:sz w:val="22"/>
          <w:szCs w:val="22"/>
          <w:lang w:val="hy-AM"/>
        </w:rPr>
        <w:t>Արդյունավետ փոխարժեքներ:</w:t>
      </w:r>
      <w:r w:rsidRPr="00CB15FF">
        <w:rPr>
          <w:rFonts w:ascii="GHEA Grapalat" w:hAnsi="GHEA Grapalat" w:cs="GHEA Grapalat"/>
          <w:sz w:val="22"/>
          <w:szCs w:val="22"/>
          <w:lang w:val="hy-AM"/>
        </w:rPr>
        <w:t xml:space="preserve"> </w:t>
      </w:r>
      <w:r w:rsidR="00646A43" w:rsidRPr="0019482C">
        <w:rPr>
          <w:rFonts w:ascii="GHEA Grapalat" w:eastAsia="Calibri" w:hAnsi="GHEA Grapalat"/>
          <w:sz w:val="22"/>
          <w:szCs w:val="22"/>
          <w:lang w:val="hy-AM"/>
        </w:rPr>
        <w:t>ՀՀ արտաքին առևտրի տեսանկյունից առավել կարևոր արժույթներից բաղկացած զամբյուղի նկատմամբ ՀՀ ազգային արժույթն</w:t>
      </w:r>
      <w:r w:rsidR="00646A43" w:rsidRPr="0019482C">
        <w:rPr>
          <w:rFonts w:ascii="GHEA Grapalat" w:eastAsia="Calibri" w:hAnsi="GHEA Grapalat" w:cs="Sylfaen"/>
          <w:sz w:val="22"/>
          <w:szCs w:val="22"/>
          <w:lang w:val="hy-AM"/>
        </w:rPr>
        <w:t xml:space="preserve"> անվանական արտահայտությամբ 2022 թվականի հունվար-սեպտեմբեր ամիսներին արժևորվել է 25.7%-ով, իսկ իրական արտահայտությամբ՝ 19.5%-ով, ինչն իր բացասական ազդեցությունն է թողել</w:t>
      </w:r>
      <w:r w:rsidR="00646A43" w:rsidRPr="0019482C" w:rsidDel="00A327AB">
        <w:rPr>
          <w:rFonts w:ascii="GHEA Grapalat" w:eastAsia="Calibri" w:hAnsi="GHEA Grapalat" w:cs="Sylfaen"/>
          <w:sz w:val="22"/>
          <w:szCs w:val="22"/>
          <w:lang w:val="hy-AM"/>
        </w:rPr>
        <w:t xml:space="preserve"> </w:t>
      </w:r>
      <w:r w:rsidR="00646A43" w:rsidRPr="0019482C">
        <w:rPr>
          <w:rFonts w:ascii="GHEA Grapalat" w:eastAsia="Calibri" w:hAnsi="GHEA Grapalat" w:cs="Sylfaen"/>
          <w:sz w:val="22"/>
          <w:szCs w:val="22"/>
          <w:lang w:val="hy-AM"/>
        </w:rPr>
        <w:t>առևտրային հաշվեկշռի վրա։</w:t>
      </w:r>
    </w:p>
    <w:bookmarkEnd w:id="26"/>
    <w:bookmarkEnd w:id="27"/>
    <w:p w:rsidR="00785E13" w:rsidRPr="0019482C" w:rsidRDefault="00785E13" w:rsidP="00C320C6">
      <w:pPr>
        <w:spacing w:line="360" w:lineRule="auto"/>
        <w:ind w:firstLine="567"/>
        <w:jc w:val="both"/>
        <w:rPr>
          <w:rFonts w:ascii="GHEA Grapalat" w:eastAsia="Calibri" w:hAnsi="GHEA Grapalat" w:cs="Sylfaen"/>
          <w:sz w:val="22"/>
          <w:szCs w:val="22"/>
          <w:lang w:val="hy-AM"/>
        </w:rPr>
      </w:pPr>
    </w:p>
    <w:tbl>
      <w:tblPr>
        <w:tblStyle w:val="TableGrid912"/>
        <w:tblW w:w="10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5489"/>
      </w:tblGrid>
      <w:tr w:rsidR="00646A43" w:rsidRPr="0019482C" w:rsidTr="00AA1BA3">
        <w:trPr>
          <w:trHeight w:val="5780"/>
        </w:trPr>
        <w:tc>
          <w:tcPr>
            <w:tcW w:w="5336" w:type="dxa"/>
          </w:tcPr>
          <w:p w:rsidR="00646A43" w:rsidRPr="00CB15FF" w:rsidRDefault="00646A43" w:rsidP="00594346">
            <w:pPr>
              <w:pStyle w:val="a"/>
              <w:ind w:left="0" w:firstLine="0"/>
            </w:pPr>
            <w:r w:rsidRPr="00CB15FF">
              <w:rPr>
                <w:lang w:val="en-US"/>
              </w:rPr>
              <w:drawing>
                <wp:anchor distT="0" distB="0" distL="114300" distR="114300" simplePos="0" relativeHeight="251667456" behindDoc="1" locked="0" layoutInCell="1" allowOverlap="1" wp14:anchorId="2A0214A3" wp14:editId="2CDE8570">
                  <wp:simplePos x="0" y="0"/>
                  <wp:positionH relativeFrom="margin">
                    <wp:posOffset>11430</wp:posOffset>
                  </wp:positionH>
                  <wp:positionV relativeFrom="paragraph">
                    <wp:posOffset>803275</wp:posOffset>
                  </wp:positionV>
                  <wp:extent cx="3177540" cy="2409825"/>
                  <wp:effectExtent l="0" t="0" r="3810" b="9525"/>
                  <wp:wrapTight wrapText="bothSides">
                    <wp:wrapPolygon edited="0">
                      <wp:start x="0" y="0"/>
                      <wp:lineTo x="0" y="21515"/>
                      <wp:lineTo x="21496" y="21515"/>
                      <wp:lineTo x="2149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CB15FF">
              <w:t>ՀՀ դրամի անվանական փոխարժեքի օրական դինամիկան հիմնական արժույթների նկատմամբ (աճ՝ դրամի արժևորում)</w:t>
            </w:r>
          </w:p>
          <w:p w:rsidR="00646A43" w:rsidRPr="00CB15FF" w:rsidRDefault="00646A43" w:rsidP="00AA1BA3">
            <w:pPr>
              <w:tabs>
                <w:tab w:val="left" w:pos="1425"/>
              </w:tabs>
              <w:rPr>
                <w:lang w:val="hy-AM"/>
              </w:rPr>
            </w:pPr>
            <w:r w:rsidRPr="00CB15FF">
              <w:rPr>
                <w:rFonts w:ascii="GHEA Grapalat" w:hAnsi="GHEA Grapalat" w:cs="Sylfaen"/>
                <w:i/>
                <w:sz w:val="18"/>
                <w:szCs w:val="18"/>
                <w:lang w:val="hy-AM"/>
              </w:rPr>
              <w:t>Աղբյուրը՝ ՀՀ ԿԲ, ՀՀ ՖՆ հաշվարկներ</w:t>
            </w:r>
          </w:p>
        </w:tc>
        <w:tc>
          <w:tcPr>
            <w:tcW w:w="5489" w:type="dxa"/>
          </w:tcPr>
          <w:p w:rsidR="00646A43" w:rsidRPr="00CB15FF" w:rsidRDefault="00646A43" w:rsidP="00594346">
            <w:pPr>
              <w:pStyle w:val="a"/>
              <w:ind w:left="0" w:firstLine="0"/>
            </w:pPr>
            <w:r w:rsidRPr="00CB15FF">
              <w:rPr>
                <w:rStyle w:val="Char0"/>
                <w:b/>
                <w:lang w:val="en-US"/>
              </w:rPr>
              <w:drawing>
                <wp:anchor distT="0" distB="0" distL="114300" distR="114300" simplePos="0" relativeHeight="251668480" behindDoc="1" locked="0" layoutInCell="1" allowOverlap="1" wp14:anchorId="6FB1DEF5" wp14:editId="15C34738">
                  <wp:simplePos x="0" y="0"/>
                  <wp:positionH relativeFrom="column">
                    <wp:posOffset>22225</wp:posOffset>
                  </wp:positionH>
                  <wp:positionV relativeFrom="paragraph">
                    <wp:posOffset>810260</wp:posOffset>
                  </wp:positionV>
                  <wp:extent cx="3276600" cy="2381250"/>
                  <wp:effectExtent l="0" t="0" r="0" b="0"/>
                  <wp:wrapTight wrapText="bothSides">
                    <wp:wrapPolygon edited="0">
                      <wp:start x="0" y="0"/>
                      <wp:lineTo x="0" y="21427"/>
                      <wp:lineTo x="21474" y="21427"/>
                      <wp:lineTo x="21474"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CB15FF">
              <w:t xml:space="preserve">ՀՀ իրական և անվանական արդյունավետ փոխարժեքների կուտակային տ/տ աճերի դինամիկան (աճ՝ արժևորում) </w:t>
            </w:r>
          </w:p>
          <w:p w:rsidR="00583AC3" w:rsidRPr="000F6B0F" w:rsidRDefault="00583AC3" w:rsidP="00AA1BA3">
            <w:pPr>
              <w:spacing w:line="276" w:lineRule="auto"/>
              <w:ind w:right="-268"/>
              <w:jc w:val="both"/>
              <w:rPr>
                <w:rFonts w:ascii="GHEA Grapalat" w:hAnsi="GHEA Grapalat" w:cs="Sylfaen"/>
                <w:i/>
                <w:sz w:val="18"/>
                <w:szCs w:val="18"/>
                <w:lang w:val="hy-AM"/>
              </w:rPr>
            </w:pPr>
          </w:p>
          <w:p w:rsidR="00646A43" w:rsidRPr="00CB15FF" w:rsidRDefault="00646A43" w:rsidP="00AA1BA3">
            <w:pPr>
              <w:spacing w:line="276" w:lineRule="auto"/>
              <w:ind w:right="-268"/>
              <w:jc w:val="both"/>
              <w:rPr>
                <w:rFonts w:ascii="GHEA Grapalat" w:hAnsi="GHEA Grapalat" w:cs="Sylfaen"/>
                <w:sz w:val="16"/>
                <w:szCs w:val="16"/>
                <w:lang w:val="hy-AM"/>
              </w:rPr>
            </w:pPr>
            <w:r w:rsidRPr="00CB15FF">
              <w:rPr>
                <w:rFonts w:ascii="GHEA Grapalat" w:hAnsi="GHEA Grapalat" w:cs="Sylfaen"/>
                <w:i/>
                <w:sz w:val="18"/>
                <w:szCs w:val="18"/>
                <w:lang w:val="hy-AM"/>
              </w:rPr>
              <w:t>Աղբյուրը՝ ՀՀ ԿԲ, ՀՀ ՖՆ հաշվարկներ</w:t>
            </w:r>
          </w:p>
        </w:tc>
      </w:tr>
    </w:tbl>
    <w:p w:rsidR="00646A43" w:rsidRPr="000F6B0F" w:rsidRDefault="00646A43" w:rsidP="00C320C6">
      <w:pPr>
        <w:spacing w:line="360" w:lineRule="auto"/>
        <w:ind w:firstLine="567"/>
        <w:jc w:val="both"/>
        <w:rPr>
          <w:rFonts w:ascii="GHEA Grapalat" w:eastAsia="Calibri" w:hAnsi="GHEA Grapalat" w:cs="Sylfaen"/>
          <w:sz w:val="22"/>
          <w:szCs w:val="22"/>
          <w:lang w:val="hy-AM"/>
        </w:rPr>
      </w:pPr>
    </w:p>
    <w:p w:rsidR="00785E13" w:rsidRPr="00CB15FF" w:rsidRDefault="00785E13" w:rsidP="00785E13">
      <w:pPr>
        <w:pStyle w:val="Heading6"/>
        <w:ind w:left="567"/>
        <w:rPr>
          <w:rFonts w:ascii="GHEA Grapalat" w:hAnsi="GHEA Grapalat"/>
          <w:b/>
          <w:sz w:val="22"/>
          <w:szCs w:val="22"/>
          <w:u w:val="none"/>
        </w:rPr>
      </w:pPr>
      <w:r w:rsidRPr="00CB15FF">
        <w:rPr>
          <w:rFonts w:ascii="GHEA Grapalat" w:hAnsi="GHEA Grapalat"/>
          <w:b/>
          <w:sz w:val="22"/>
          <w:szCs w:val="22"/>
          <w:u w:val="none"/>
        </w:rPr>
        <w:t>Ֆինանսական շուկաներ</w:t>
      </w:r>
      <w:r w:rsidRPr="00CB15FF">
        <w:rPr>
          <w:rFonts w:ascii="GHEA Grapalat" w:hAnsi="GHEA Grapalat"/>
          <w:b/>
          <w:sz w:val="22"/>
          <w:szCs w:val="22"/>
          <w:u w:val="none"/>
          <w:vertAlign w:val="superscript"/>
        </w:rPr>
        <w:footnoteReference w:id="25"/>
      </w:r>
    </w:p>
    <w:p w:rsidR="00646A43" w:rsidRPr="000F6B0F" w:rsidRDefault="00785E13" w:rsidP="00646A43">
      <w:pPr>
        <w:spacing w:line="360" w:lineRule="auto"/>
        <w:ind w:firstLine="567"/>
        <w:jc w:val="both"/>
        <w:rPr>
          <w:rFonts w:ascii="GHEA Grapalat" w:eastAsia="Calibri" w:hAnsi="GHEA Grapalat" w:cs="Sylfaen"/>
          <w:sz w:val="22"/>
          <w:szCs w:val="22"/>
          <w:lang w:val="hy-AM"/>
        </w:rPr>
      </w:pPr>
      <w:r w:rsidRPr="00CB15FF">
        <w:rPr>
          <w:rFonts w:ascii="GHEA Grapalat" w:hAnsi="GHEA Grapalat" w:cs="GHEA Grapalat"/>
          <w:b/>
          <w:i/>
          <w:sz w:val="22"/>
          <w:szCs w:val="22"/>
          <w:lang w:val="hy-AM"/>
        </w:rPr>
        <w:t>Վարկեր և ավանդներ:</w:t>
      </w:r>
      <w:r w:rsidRPr="00CB15FF">
        <w:rPr>
          <w:rFonts w:ascii="GHEA Grapalat" w:hAnsi="GHEA Grapalat" w:cs="GHEA Grapalat"/>
          <w:sz w:val="22"/>
          <w:szCs w:val="22"/>
          <w:lang w:val="hy-AM"/>
        </w:rPr>
        <w:t xml:space="preserve"> </w:t>
      </w:r>
      <w:r w:rsidR="00646A43" w:rsidRPr="000F6B0F">
        <w:rPr>
          <w:rFonts w:ascii="GHEA Grapalat" w:eastAsia="Calibri" w:hAnsi="GHEA Grapalat" w:cs="Sylfaen"/>
          <w:sz w:val="22"/>
          <w:szCs w:val="22"/>
          <w:lang w:val="hy-AM"/>
        </w:rPr>
        <w:t>2021</w:t>
      </w:r>
      <w:r w:rsidR="000B6F7B" w:rsidRPr="000F6B0F">
        <w:rPr>
          <w:rFonts w:ascii="GHEA Grapalat" w:eastAsia="Calibri" w:hAnsi="GHEA Grapalat" w:cs="Sylfaen"/>
          <w:sz w:val="22"/>
          <w:szCs w:val="22"/>
          <w:lang w:val="hy-AM"/>
        </w:rPr>
        <w:t xml:space="preserve"> թվական</w:t>
      </w:r>
      <w:r w:rsidR="00646A43" w:rsidRPr="000F6B0F">
        <w:rPr>
          <w:rFonts w:ascii="GHEA Grapalat" w:eastAsia="Calibri" w:hAnsi="GHEA Grapalat" w:cs="Sylfaen"/>
          <w:sz w:val="22"/>
          <w:szCs w:val="22"/>
          <w:lang w:val="hy-AM"/>
        </w:rPr>
        <w:t>ին գրանցված վարկերի անկումից հետո 2022</w:t>
      </w:r>
      <w:r w:rsidR="000B6F7B" w:rsidRPr="000F6B0F">
        <w:rPr>
          <w:rFonts w:ascii="GHEA Grapalat" w:eastAsia="Calibri" w:hAnsi="GHEA Grapalat" w:cs="Sylfaen"/>
          <w:sz w:val="22"/>
          <w:szCs w:val="22"/>
          <w:lang w:val="hy-AM"/>
        </w:rPr>
        <w:t xml:space="preserve"> </w:t>
      </w:r>
      <w:r w:rsidR="00646A43" w:rsidRPr="000F6B0F">
        <w:rPr>
          <w:rFonts w:ascii="GHEA Grapalat" w:eastAsia="Calibri" w:hAnsi="GHEA Grapalat" w:cs="Sylfaen"/>
          <w:sz w:val="22"/>
          <w:szCs w:val="22"/>
          <w:lang w:val="hy-AM"/>
        </w:rPr>
        <w:t>թ</w:t>
      </w:r>
      <w:r w:rsidR="000B6F7B" w:rsidRPr="000F6B0F">
        <w:rPr>
          <w:rFonts w:ascii="GHEA Grapalat" w:eastAsia="Calibri" w:hAnsi="GHEA Grapalat" w:cs="Sylfaen"/>
          <w:sz w:val="22"/>
          <w:szCs w:val="22"/>
          <w:lang w:val="hy-AM"/>
        </w:rPr>
        <w:t>վական</w:t>
      </w:r>
      <w:r w:rsidR="00646A43" w:rsidRPr="000F6B0F">
        <w:rPr>
          <w:rFonts w:ascii="GHEA Grapalat" w:eastAsia="Calibri" w:hAnsi="GHEA Grapalat" w:cs="Sylfaen"/>
          <w:sz w:val="22"/>
          <w:szCs w:val="22"/>
          <w:lang w:val="hy-AM"/>
        </w:rPr>
        <w:t xml:space="preserve">ի </w:t>
      </w:r>
      <w:r w:rsidR="000B6F7B" w:rsidRPr="000F6B0F">
        <w:rPr>
          <w:rFonts w:ascii="GHEA Grapalat" w:eastAsia="Calibri" w:hAnsi="GHEA Grapalat" w:cs="Sylfaen"/>
          <w:sz w:val="22"/>
          <w:szCs w:val="22"/>
          <w:lang w:val="hy-AM"/>
        </w:rPr>
        <w:t>ինն</w:t>
      </w:r>
      <w:r w:rsidR="00646A43" w:rsidRPr="000F6B0F">
        <w:rPr>
          <w:rFonts w:ascii="GHEA Grapalat" w:eastAsia="Calibri" w:hAnsi="GHEA Grapalat" w:cs="Sylfaen"/>
          <w:sz w:val="22"/>
          <w:szCs w:val="22"/>
          <w:lang w:val="hy-AM"/>
        </w:rPr>
        <w:t xml:space="preserve"> ամիսների ընթացքում վարկերի ծավալները որոշակիորեն աճել են՝ չնայած ԱՄՆ դոլարի նկատմամբ դրամի արժևորումը հանգեցրել է դրամային արտահայտությամբ արտարժութային վարկերի էական նվազման։ 2022 թվականի սեպտեմբերին առևտրային բանկերի կողմից ռեզիդենտներին տրամադրված վարկերի ծավալների աճը կազմել է 4.3%</w:t>
      </w:r>
      <w:r w:rsidR="00646A43" w:rsidRPr="00CB15FF">
        <w:rPr>
          <w:rFonts w:ascii="GHEA Grapalat" w:eastAsia="Calibri" w:hAnsi="GHEA Grapalat" w:cs="Sylfaen"/>
          <w:sz w:val="22"/>
          <w:szCs w:val="22"/>
          <w:vertAlign w:val="superscript"/>
        </w:rPr>
        <w:footnoteReference w:id="26"/>
      </w:r>
      <w:r w:rsidR="00646A43" w:rsidRPr="000F6B0F">
        <w:rPr>
          <w:rFonts w:ascii="GHEA Grapalat" w:eastAsia="Calibri" w:hAnsi="GHEA Grapalat" w:cs="Sylfaen"/>
          <w:sz w:val="22"/>
          <w:szCs w:val="22"/>
          <w:lang w:val="hy-AM"/>
        </w:rPr>
        <w:t>՝ 2021 թվականի սեպտեմբերին արձանագրված 3</w:t>
      </w:r>
      <w:r w:rsidR="00583AC3" w:rsidRPr="000F6B0F">
        <w:rPr>
          <w:rFonts w:ascii="GHEA Grapalat" w:eastAsia="Calibri" w:hAnsi="GHEA Grapalat" w:cs="Sylfaen"/>
          <w:sz w:val="22"/>
          <w:szCs w:val="22"/>
          <w:lang w:val="hy-AM"/>
        </w:rPr>
        <w:t>.</w:t>
      </w:r>
      <w:r w:rsidR="00646A43" w:rsidRPr="000F6B0F">
        <w:rPr>
          <w:rFonts w:ascii="GHEA Grapalat" w:eastAsia="Calibri" w:hAnsi="GHEA Grapalat" w:cs="Sylfaen"/>
          <w:sz w:val="22"/>
          <w:szCs w:val="22"/>
          <w:lang w:val="hy-AM"/>
        </w:rPr>
        <w:t xml:space="preserve">4% անկման համեմատ: Վարկերի աճին 11 տոկոսային կետով նպաստել է դրամային վարկերի աճը, իսկ արտարժութային վարկերն ունեցել են բացասական </w:t>
      </w:r>
      <w:r w:rsidR="00646A43" w:rsidRPr="000F6B0F">
        <w:rPr>
          <w:rFonts w:ascii="GHEA Grapalat" w:eastAsia="Calibri" w:hAnsi="GHEA Grapalat" w:cs="Sylfaen"/>
          <w:sz w:val="22"/>
          <w:szCs w:val="22"/>
          <w:lang w:val="hy-AM"/>
        </w:rPr>
        <w:lastRenderedPageBreak/>
        <w:t xml:space="preserve">նպաստում՝ 6.6 տոկոսային կետով (արտարժութային վարկերը դրամային արտահայտությամբ նվազել են 14.7%-ով՝ հիմնականում պայմանավորված ԱՄՆ դոլարի նկատմամբ դրամի </w:t>
      </w:r>
      <w:r w:rsidR="00583AC3" w:rsidRPr="000F6B0F">
        <w:rPr>
          <w:rFonts w:ascii="GHEA Grapalat" w:eastAsia="Calibri" w:hAnsi="GHEA Grapalat" w:cs="Sylfaen"/>
          <w:sz w:val="22"/>
          <w:szCs w:val="22"/>
          <w:lang w:val="hy-AM"/>
        </w:rPr>
        <w:t>արժևորմ</w:t>
      </w:r>
      <w:r w:rsidR="00646A43" w:rsidRPr="000F6B0F">
        <w:rPr>
          <w:rFonts w:ascii="GHEA Grapalat" w:eastAsia="Calibri" w:hAnsi="GHEA Grapalat" w:cs="Sylfaen"/>
          <w:sz w:val="22"/>
          <w:szCs w:val="22"/>
          <w:lang w:val="hy-AM"/>
        </w:rPr>
        <w:t>ամբ):</w:t>
      </w:r>
    </w:p>
    <w:p w:rsidR="00785E13" w:rsidRPr="000F6B0F" w:rsidRDefault="00646A43" w:rsidP="00646A43">
      <w:pPr>
        <w:spacing w:line="360" w:lineRule="auto"/>
        <w:ind w:firstLine="567"/>
        <w:jc w:val="both"/>
        <w:rPr>
          <w:rFonts w:ascii="GHEA Grapalat" w:hAnsi="GHEA Grapalat" w:cs="GHEA Grapalat"/>
          <w:sz w:val="22"/>
          <w:szCs w:val="22"/>
          <w:lang w:val="hy-AM"/>
        </w:rPr>
      </w:pPr>
      <w:r w:rsidRPr="000F6B0F">
        <w:rPr>
          <w:rFonts w:ascii="GHEA Grapalat" w:eastAsia="Calibri" w:hAnsi="GHEA Grapalat" w:cs="Sylfaen"/>
          <w:sz w:val="22"/>
          <w:szCs w:val="22"/>
          <w:lang w:val="hy-AM"/>
        </w:rPr>
        <w:t xml:space="preserve">Վարկերի աճը հիմնականում պայմանավորվել է </w:t>
      </w:r>
      <w:r w:rsidR="004320B5" w:rsidRPr="000F6B0F">
        <w:rPr>
          <w:rFonts w:ascii="GHEA Grapalat" w:eastAsia="Calibri" w:hAnsi="GHEA Grapalat" w:cs="Sylfaen"/>
          <w:sz w:val="22"/>
          <w:szCs w:val="22"/>
          <w:lang w:val="hy-AM"/>
        </w:rPr>
        <w:t>հիպոտեկ</w:t>
      </w:r>
      <w:r w:rsidRPr="000F6B0F">
        <w:rPr>
          <w:rFonts w:ascii="GHEA Grapalat" w:eastAsia="Calibri" w:hAnsi="GHEA Grapalat" w:cs="Sylfaen"/>
          <w:sz w:val="22"/>
          <w:szCs w:val="22"/>
          <w:lang w:val="hy-AM"/>
        </w:rPr>
        <w:t>ային (աճը՝</w:t>
      </w:r>
      <w:r w:rsidR="000B6F7B" w:rsidRPr="000F6B0F">
        <w:rPr>
          <w:rFonts w:ascii="GHEA Grapalat" w:eastAsia="Calibri" w:hAnsi="GHEA Grapalat" w:cs="Sylfaen"/>
          <w:sz w:val="22"/>
          <w:szCs w:val="22"/>
          <w:lang w:val="hy-AM"/>
        </w:rPr>
        <w:t xml:space="preserve"> 32.9%</w:t>
      </w:r>
      <w:r w:rsidRPr="000F6B0F">
        <w:rPr>
          <w:rFonts w:ascii="GHEA Grapalat" w:eastAsia="Calibri" w:hAnsi="GHEA Grapalat" w:cs="Sylfaen"/>
          <w:sz w:val="22"/>
          <w:szCs w:val="22"/>
          <w:lang w:val="hy-AM"/>
        </w:rPr>
        <w:t>, նպաստումը՝ 5.5 տոկոսային կետ) և շինարարության (աճը՝</w:t>
      </w:r>
      <w:r w:rsidR="000B6F7B" w:rsidRPr="000F6B0F">
        <w:rPr>
          <w:rFonts w:ascii="GHEA Grapalat" w:eastAsia="Calibri" w:hAnsi="GHEA Grapalat" w:cs="Sylfaen"/>
          <w:sz w:val="22"/>
          <w:szCs w:val="22"/>
          <w:lang w:val="hy-AM"/>
        </w:rPr>
        <w:t xml:space="preserve"> 4.6%</w:t>
      </w:r>
      <w:r w:rsidRPr="000F6B0F">
        <w:rPr>
          <w:rFonts w:ascii="GHEA Grapalat" w:eastAsia="Calibri" w:hAnsi="GHEA Grapalat" w:cs="Sylfaen"/>
          <w:sz w:val="22"/>
          <w:szCs w:val="22"/>
          <w:lang w:val="hy-AM"/>
        </w:rPr>
        <w:t>, նպաստումը՝ 9.4 տոկոսային կետ) վարկերով, իսկ սպասարկման, տրանսպորտի և կապի, արդյունաբերության և առևտրի ոլորտներին ուղղված վարկերը բացասական նպաստում են ունեցել</w:t>
      </w:r>
      <w:r w:rsidR="00AA1BA3" w:rsidRPr="000F6B0F">
        <w:rPr>
          <w:rFonts w:ascii="GHEA Grapalat" w:eastAsia="Calibri" w:hAnsi="GHEA Grapalat" w:cs="Sylfaen"/>
          <w:sz w:val="22"/>
          <w:szCs w:val="22"/>
          <w:lang w:val="hy-AM"/>
        </w:rPr>
        <w:t xml:space="preserve"> </w:t>
      </w:r>
      <w:r w:rsidRPr="000F6B0F">
        <w:rPr>
          <w:rFonts w:ascii="GHEA Grapalat" w:eastAsia="Calibri" w:hAnsi="GHEA Grapalat" w:cs="Sylfaen"/>
          <w:sz w:val="22"/>
          <w:szCs w:val="22"/>
          <w:lang w:val="hy-AM"/>
        </w:rPr>
        <w:t>(համապատասխանաբար 1.3, 1.0, 0.8 և 0.1 տոկոսային կետով):</w:t>
      </w:r>
    </w:p>
    <w:p w:rsidR="00785E13" w:rsidRPr="000F6B0F" w:rsidRDefault="00785E13" w:rsidP="00785E13">
      <w:pPr>
        <w:spacing w:line="360" w:lineRule="auto"/>
        <w:ind w:firstLine="567"/>
        <w:jc w:val="both"/>
        <w:rPr>
          <w:rFonts w:ascii="GHEA Grapalat" w:eastAsia="Calibri" w:hAnsi="GHEA Grapalat" w:cs="Sylfaen"/>
          <w:sz w:val="22"/>
          <w:szCs w:val="22"/>
          <w:lang w:val="hy-AM"/>
        </w:rPr>
      </w:pPr>
    </w:p>
    <w:p w:rsidR="00646A43" w:rsidRPr="00CB15FF" w:rsidRDefault="00646A43" w:rsidP="00594346">
      <w:pPr>
        <w:pStyle w:val="a"/>
        <w:ind w:left="0" w:firstLine="0"/>
      </w:pPr>
      <w:r w:rsidRPr="00CB15FF">
        <w:t>Ռեզիդենտների վարկերի և ավանդների ծավալների աճը (նախորդ տարվա նկատմամբ, %)</w:t>
      </w:r>
      <w:r w:rsidRPr="00CB15FF">
        <w:rPr>
          <w:vertAlign w:val="superscript"/>
        </w:rPr>
        <w:footnoteReference w:id="27"/>
      </w:r>
    </w:p>
    <w:p w:rsidR="00646A43" w:rsidRPr="00CB15FF" w:rsidRDefault="00646A43" w:rsidP="00646A43">
      <w:pPr>
        <w:spacing w:line="360" w:lineRule="auto"/>
        <w:jc w:val="both"/>
        <w:rPr>
          <w:rFonts w:ascii="GHEA Grapalat" w:eastAsia="Calibri" w:hAnsi="GHEA Grapalat" w:cs="Sylfaen"/>
          <w:sz w:val="22"/>
          <w:szCs w:val="22"/>
        </w:rPr>
      </w:pPr>
      <w:r w:rsidRPr="00CB15FF">
        <w:rPr>
          <w:rFonts w:ascii="GHEA Grapalat" w:hAnsi="GHEA Grapalat"/>
          <w:noProof/>
          <w:sz w:val="28"/>
        </w:rPr>
        <w:drawing>
          <wp:inline distT="0" distB="0" distL="0" distR="0" wp14:anchorId="7F8FE1EB" wp14:editId="4DDAE583">
            <wp:extent cx="3142211" cy="2975956"/>
            <wp:effectExtent l="57150" t="0" r="39370" b="9144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B15FF">
        <w:rPr>
          <w:rFonts w:ascii="GHEA Grapalat" w:hAnsi="GHEA Grapalat"/>
          <w:noProof/>
          <w:sz w:val="28"/>
        </w:rPr>
        <w:drawing>
          <wp:inline distT="0" distB="0" distL="0" distR="0" wp14:anchorId="61A3B738" wp14:editId="60B8B702">
            <wp:extent cx="3142211" cy="2967643"/>
            <wp:effectExtent l="57150" t="0" r="39370" b="99695"/>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3AC3" w:rsidRPr="00CB15FF" w:rsidRDefault="00583AC3" w:rsidP="00646A43">
      <w:pPr>
        <w:spacing w:line="360" w:lineRule="auto"/>
        <w:ind w:firstLine="567"/>
        <w:jc w:val="both"/>
        <w:rPr>
          <w:rFonts w:ascii="GHEA Grapalat" w:eastAsia="Calibri" w:hAnsi="GHEA Grapalat" w:cs="Sylfaen"/>
          <w:sz w:val="22"/>
          <w:szCs w:val="22"/>
        </w:rPr>
      </w:pPr>
    </w:p>
    <w:p w:rsidR="00646A43" w:rsidRPr="00CB15FF" w:rsidRDefault="00646A43" w:rsidP="00646A43">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 xml:space="preserve">2022 թվականի հունվար-սեպտեմբեր ամիսներին ավանդների ծավալները նախորդ տարվա նույն ժամանակահատվածի նկատմամբ շարունակել </w:t>
      </w:r>
      <w:r w:rsidR="000B6F7B" w:rsidRPr="00CB15FF">
        <w:rPr>
          <w:rFonts w:ascii="GHEA Grapalat" w:eastAsia="Calibri" w:hAnsi="GHEA Grapalat" w:cs="Sylfaen"/>
          <w:sz w:val="22"/>
          <w:szCs w:val="22"/>
        </w:rPr>
        <w:t>են</w:t>
      </w:r>
      <w:r w:rsidRPr="00CB15FF">
        <w:rPr>
          <w:rFonts w:ascii="GHEA Grapalat" w:eastAsia="Calibri" w:hAnsi="GHEA Grapalat" w:cs="Sylfaen"/>
          <w:sz w:val="22"/>
          <w:szCs w:val="22"/>
        </w:rPr>
        <w:t xml:space="preserve"> աճել, թեպետ աճի տեմպի վրա նվազեցնող ազդեցություն է ունեցել ԱՄՆ դոլարի նկատմամբ դրամի արժևորումը։ Առևտրային բանկերի կողմից ռեզիդենտներից ներգրավված ավանդներն աճել են 10.9%</w:t>
      </w:r>
      <w:r w:rsidRPr="00CB15FF">
        <w:rPr>
          <w:rFonts w:ascii="GHEA Grapalat" w:eastAsia="Calibri" w:hAnsi="GHEA Grapalat" w:cs="Sylfaen"/>
          <w:sz w:val="22"/>
          <w:szCs w:val="22"/>
        </w:rPr>
        <w:noBreakHyphen/>
        <w:t xml:space="preserve">ով, որին նպաստել </w:t>
      </w:r>
      <w:r w:rsidR="000B6F7B" w:rsidRPr="00CB15FF">
        <w:rPr>
          <w:rFonts w:ascii="GHEA Grapalat" w:eastAsia="Calibri" w:hAnsi="GHEA Grapalat" w:cs="Sylfaen"/>
          <w:sz w:val="22"/>
          <w:szCs w:val="22"/>
        </w:rPr>
        <w:t>է</w:t>
      </w:r>
      <w:r w:rsidRPr="00CB15FF">
        <w:rPr>
          <w:rFonts w:ascii="GHEA Grapalat" w:eastAsia="Calibri" w:hAnsi="GHEA Grapalat" w:cs="Sylfaen"/>
          <w:sz w:val="22"/>
          <w:szCs w:val="22"/>
        </w:rPr>
        <w:t xml:space="preserve"> ինչպես տնային տնտեսությունների, այնպես էլ ձեռնարկությունների ավանդների աճը՝ համապատասխանաբար 4.3 և 3.8 տոկոսային կետով։ Արժութային կառուցվածքի տեսակետից</w:t>
      </w:r>
      <w:r w:rsidR="000B6F7B" w:rsidRPr="00CB15FF">
        <w:rPr>
          <w:rFonts w:ascii="GHEA Grapalat" w:eastAsia="Calibri" w:hAnsi="GHEA Grapalat" w:cs="Sylfaen"/>
          <w:sz w:val="22"/>
          <w:szCs w:val="22"/>
        </w:rPr>
        <w:t xml:space="preserve"> 5.</w:t>
      </w:r>
      <w:r w:rsidRPr="00CB15FF">
        <w:rPr>
          <w:rFonts w:ascii="GHEA Grapalat" w:eastAsia="Calibri" w:hAnsi="GHEA Grapalat" w:cs="Sylfaen"/>
          <w:sz w:val="22"/>
          <w:szCs w:val="22"/>
        </w:rPr>
        <w:t>1 տոկոսային կետով դրական նպաստում է ունեցել դրամային ավանդների աճը, իսկ արտարժութային ավանդների նպաստումը կազմել է 5.8 տոկոսային կետ:</w:t>
      </w:r>
    </w:p>
    <w:p w:rsidR="00646A43" w:rsidRPr="00CB15FF" w:rsidRDefault="00646A43" w:rsidP="00646A43">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lastRenderedPageBreak/>
        <w:t>2022 թվականի հունվար-սեպտեմբեր ամիսներին ավանդների դոլարայնացման մակարդակն աճել</w:t>
      </w:r>
      <w:r w:rsidR="000B6F7B" w:rsidRPr="00CB15FF">
        <w:rPr>
          <w:rFonts w:ascii="GHEA Grapalat" w:eastAsia="Calibri" w:hAnsi="GHEA Grapalat" w:cs="Sylfaen"/>
          <w:sz w:val="22"/>
          <w:szCs w:val="22"/>
        </w:rPr>
        <w:t xml:space="preserve"> է</w:t>
      </w:r>
      <w:r w:rsidRPr="00CB15FF">
        <w:rPr>
          <w:rFonts w:ascii="GHEA Grapalat" w:eastAsia="Calibri" w:hAnsi="GHEA Grapalat" w:cs="Sylfaen"/>
          <w:sz w:val="22"/>
          <w:szCs w:val="22"/>
        </w:rPr>
        <w:t>, իսկ վարկերինը</w:t>
      </w:r>
      <w:r w:rsidR="000B6F7B"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նվազել՝ հիմնականում պայմանավորված ԱՄՆ դոլարի նկատմամբ ՀՀ դրամի արժևորմամբ: Ռեզիդենտների արտարժութային ավանդներ/ընդամենը ավանդներ հարաբերակցությունը նախորդ տարվա համեմատ աճել է 0.9 տոկոսային կետով՝ կազմելով 43.6%, իսկ ռեզիդենտների վարկավորման ընդհանուր կառուցվածքում արտարժույթով վարկերի կշիռը նվազել է 8.2 տոկոսային կետով՝ կազմելով 37.8%։ Առանց դրամի արժևորման</w:t>
      </w:r>
      <w:r w:rsidR="000B6F7B"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ավանդների դոլարայնացումը կաճեր 5.2</w:t>
      </w:r>
      <w:r w:rsidR="000B6F7B" w:rsidRPr="00CB15FF">
        <w:rPr>
          <w:rFonts w:ascii="GHEA Grapalat" w:eastAsia="Calibri" w:hAnsi="GHEA Grapalat" w:cs="Sylfaen"/>
          <w:sz w:val="22"/>
          <w:szCs w:val="22"/>
        </w:rPr>
        <w:t xml:space="preserve"> </w:t>
      </w:r>
      <w:r w:rsidR="00CC0F73" w:rsidRPr="00CB15FF">
        <w:rPr>
          <w:rFonts w:ascii="GHEA Grapalat" w:eastAsia="Calibri" w:hAnsi="GHEA Grapalat" w:cs="Sylfaen"/>
          <w:sz w:val="22"/>
          <w:szCs w:val="22"/>
        </w:rPr>
        <w:t>տոկոսային</w:t>
      </w:r>
      <w:r w:rsidRPr="00CB15FF">
        <w:rPr>
          <w:rFonts w:ascii="GHEA Grapalat" w:eastAsia="Calibri" w:hAnsi="GHEA Grapalat" w:cs="Sylfaen"/>
          <w:sz w:val="22"/>
          <w:szCs w:val="22"/>
        </w:rPr>
        <w:t xml:space="preserve"> կետով, իսկ վարկերի դոլարայնացումը կնվազեր 3.9</w:t>
      </w:r>
      <w:r w:rsidR="000B6F7B" w:rsidRPr="00CB15FF">
        <w:rPr>
          <w:rFonts w:ascii="GHEA Grapalat" w:eastAsia="Calibri" w:hAnsi="GHEA Grapalat" w:cs="Sylfaen"/>
          <w:sz w:val="22"/>
          <w:szCs w:val="22"/>
        </w:rPr>
        <w:t xml:space="preserve"> </w:t>
      </w:r>
      <w:r w:rsidR="00CC0F73" w:rsidRPr="00CB15FF">
        <w:rPr>
          <w:rFonts w:ascii="GHEA Grapalat" w:eastAsia="Calibri" w:hAnsi="GHEA Grapalat" w:cs="Sylfaen"/>
          <w:sz w:val="22"/>
          <w:szCs w:val="22"/>
        </w:rPr>
        <w:t>տոկոսային</w:t>
      </w:r>
      <w:r w:rsidRPr="00CB15FF">
        <w:rPr>
          <w:rFonts w:ascii="GHEA Grapalat" w:eastAsia="Calibri" w:hAnsi="GHEA Grapalat" w:cs="Sylfaen"/>
          <w:sz w:val="22"/>
          <w:szCs w:val="22"/>
        </w:rPr>
        <w:t xml:space="preserve"> կետով՝ պայմանավորված առաջին դեպքում արտարժութային ավանդների, և երկրորդ դեպքում՝ դրամային վարկերի առաջանցիկ աճերով</w:t>
      </w:r>
      <w:r w:rsidRPr="00CB15FF">
        <w:rPr>
          <w:rFonts w:ascii="GHEA Grapalat" w:eastAsia="Calibri" w:hAnsi="GHEA Grapalat" w:cs="Sylfaen"/>
          <w:sz w:val="22"/>
          <w:szCs w:val="22"/>
          <w:vertAlign w:val="superscript"/>
        </w:rPr>
        <w:footnoteReference w:id="28"/>
      </w:r>
      <w:r w:rsidRPr="00CB15FF">
        <w:rPr>
          <w:rFonts w:ascii="GHEA Grapalat" w:eastAsia="Calibri" w:hAnsi="GHEA Grapalat" w:cs="Sylfaen"/>
          <w:sz w:val="22"/>
          <w:szCs w:val="22"/>
        </w:rPr>
        <w:t>։</w:t>
      </w:r>
    </w:p>
    <w:p w:rsidR="007E72A4" w:rsidRPr="00CB15FF" w:rsidRDefault="00785E13"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Վարկերի և ավանդների տոկոսադրույքներ:</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2022 թվականի հունվար-սեպտեմբերին ՀՀ դրամով վարկերի և ավանդների տոկոսադրույքները չափավոր աճ են գրանցել: Տոկոսադրույքների աճին նպաստել են գնաճի և գնաճային սպասումների ավելացումը, ԿԲ-ի կողմից դրամավարկային պայմանների խստացումը (վերջին 12 ամիսների ընթացքում վերաֆինանսավորման տոկոսադրույքը բարձրացել է 2.75 տոկոսային կետով), ինչպես նաև տարածաշրջանի և ՀՀ երկրի ռիսկի հավելավճարի դեպի վեր ճշգրտումը: 2022 թվականի հունվար-սեպտեմբեր ամիսներին ՀՀ դրամով վարկավորման (մինչև մեկ տարի ժամկետով) միջին տարեկան տոկոսադրույքը կազմել է 11.8%՝ նախորդ տարվա նկատմամբ աճելով 0.1 տոկոսային կետով: ՀՀ դրամային ավանդների (մինչև մեկ տարի ժամկետով) միջին տոկոսադրույքը կազմել է 8.4%՝ նախորդ տարվա համեմատ աճելով 0.2 տոկոսային կետով:</w:t>
      </w:r>
    </w:p>
    <w:p w:rsidR="007E72A4"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Արտարժույթով ավանդների (մինչև մեկ տարի ժամկետով) միջին տարեկան տոկոսադրույքը 2022 թվականի հունվար-հունիսին կազմել է</w:t>
      </w:r>
      <w:r w:rsidR="00B504D6" w:rsidRPr="00CB15FF">
        <w:rPr>
          <w:rFonts w:ascii="GHEA Grapalat" w:eastAsia="Calibri" w:hAnsi="GHEA Grapalat" w:cs="Sylfaen"/>
          <w:sz w:val="22"/>
          <w:szCs w:val="22"/>
        </w:rPr>
        <w:t xml:space="preserve"> 1.</w:t>
      </w:r>
      <w:r w:rsidRPr="00CB15FF">
        <w:rPr>
          <w:rFonts w:ascii="GHEA Grapalat" w:eastAsia="Calibri" w:hAnsi="GHEA Grapalat" w:cs="Sylfaen"/>
          <w:sz w:val="22"/>
          <w:szCs w:val="22"/>
        </w:rPr>
        <w:t>9%՝ նախորդ տարվա նույն ժամանակահատվածի համեմատ մնալով անփոփոխ: Իսկ արտարժույթով վարկավորման (մինչև մեկ տարի ժամկետով) միջին տոկոսադրույքը նվազել է 0.1 տոկոսային կետով՝ կազմելով 7.8%:</w:t>
      </w:r>
    </w:p>
    <w:p w:rsidR="00785E13"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Ֆինանսական շուկայում արտարժույթով և դրամով միջին կշռված մինչև 1 տարի ժամկետով տոկոսադրույքների միջև միջին սպրեդը 2022 թվականի հունվար-սեպտեմբեր ամիսներին նախորդ համադրելի ժամանակահատվածի մնացել է անփոփոխ՝ 5 տոկոսի մակարդակում: Դրամով վարկերի և ավանդների միջև տոկոսադրույքների սպրեդը նվազել է 0.1 տոկոսային կետով՝ մինչև 3.4 տոկոսային կետ, իսկ արտարժույթով վարկերի և ավանդների սպրեդը՝ 0.1 տոկոսային կետով` կազմելով 5.9 տոկոսային կետ:</w:t>
      </w:r>
    </w:p>
    <w:p w:rsidR="007E72A4" w:rsidRPr="00CB15FF" w:rsidRDefault="00785E13"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ՀՀ պետական պարտատոմսերի շուկա:</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 xml:space="preserve">ՀՀ պետական պարտատոմսերի շուկայում նկատվել է ՊՊ տեղաբաշխման միջին կշռված եկամտաբերության աճ, ինչը կարող է բացատրվել գնաճի և </w:t>
      </w:r>
      <w:r w:rsidR="007E72A4" w:rsidRPr="00CB15FF">
        <w:rPr>
          <w:rFonts w:ascii="GHEA Grapalat" w:eastAsia="Calibri" w:hAnsi="GHEA Grapalat" w:cs="Sylfaen"/>
          <w:sz w:val="22"/>
          <w:szCs w:val="22"/>
        </w:rPr>
        <w:lastRenderedPageBreak/>
        <w:t>գնաճային սպասումների ավելացմամբ, ՀՀ ԿԲ կողմից վերաֆինանսավորման տոկոսադրույքի բարձրացմամբ, ինչպես նաև մարտ ամսից սկսած ռուս-ուկրաինական հակամարտությունից բխող ռազմաքաղաքական և տնտեսական ճգնաժամով պայմանավորված՝ տարածաշրջանի երկրների և Հայաստանի սուվերեն ռիսկի հավելավճարի աճով: Եթե 2021 թվականի հունվար-սեպտեմբեր ամիսներին տեղաբաշխված պետական պարտատոմսերի միջին կշռված եկամտաբերությունը կազմել էր 9.1%, ապա 2022 թվականի նույն ժամանակահատվածում այն կազմել է 10.9% կամ շուրջ 1.8 տոկոսային կետով ավելի:</w:t>
      </w:r>
    </w:p>
    <w:p w:rsidR="007E72A4"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2022 թվականի հունվար-սեպտեմբերին տեղաբաշխված պետական պարտատոմսերի ծավալը կազմել է 333.2 մլրդ դրամ՝ 2021 թվականի նույն ժամանակահատվածի 288.2 մլրդ դրամի դիմաց, իսկ տեղաբաշխման միջին կշռված ժամկետայնությունը` 2161 օր՝ 2021 թվականի նույն ժամանակահատվածի 3380 օր ցուցանիշի համեմատ:</w:t>
      </w:r>
    </w:p>
    <w:p w:rsidR="00785E13"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 xml:space="preserve">2022 թվականի հունվար-սեպտեմբերին պետական (շուկայական) պարտատոմսերի նկատմամբ պահանջարկը գերազանցել է տեղաբաշխման ցուցանիշը 1.9 անգամ (2021 թվականի </w:t>
      </w:r>
      <w:r w:rsidR="005E5E31" w:rsidRPr="00CB15FF">
        <w:rPr>
          <w:rFonts w:ascii="GHEA Grapalat" w:eastAsia="Calibri" w:hAnsi="GHEA Grapalat" w:cs="Sylfaen"/>
          <w:sz w:val="22"/>
          <w:szCs w:val="22"/>
        </w:rPr>
        <w:t>ինն</w:t>
      </w:r>
      <w:r w:rsidRPr="00CB15FF">
        <w:rPr>
          <w:rFonts w:ascii="GHEA Grapalat" w:eastAsia="Calibri" w:hAnsi="GHEA Grapalat" w:cs="Sylfaen"/>
          <w:sz w:val="22"/>
          <w:szCs w:val="22"/>
        </w:rPr>
        <w:t xml:space="preserve"> ամիսներին՝ 1.8 անգամ), իսկ տեղաբաշխման ենթակա ծավալ/տեղաբաշխված ծավալ միջին հարաբերակցությունը կազմել է 1.24 (2021 թվականի </w:t>
      </w:r>
      <w:r w:rsidR="005E5E31" w:rsidRPr="00CB15FF">
        <w:rPr>
          <w:rFonts w:ascii="GHEA Grapalat" w:eastAsia="Calibri" w:hAnsi="GHEA Grapalat" w:cs="Sylfaen"/>
          <w:sz w:val="22"/>
          <w:szCs w:val="22"/>
        </w:rPr>
        <w:t>ինն</w:t>
      </w:r>
      <w:r w:rsidRPr="00CB15FF">
        <w:rPr>
          <w:rFonts w:ascii="GHEA Grapalat" w:eastAsia="Calibri" w:hAnsi="GHEA Grapalat" w:cs="Sylfaen"/>
          <w:sz w:val="22"/>
          <w:szCs w:val="22"/>
        </w:rPr>
        <w:t xml:space="preserve"> ամիսներին` 1.14):</w:t>
      </w:r>
    </w:p>
    <w:p w:rsidR="007E72A4" w:rsidRPr="00CB15FF" w:rsidRDefault="00785E13"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ՀՀ եվրապարտատոմսերի երկրորդային շուկա:</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ՀՀ եվրապարտատոմսերի երկրորդային շուկայում եկամտաբերությունները 2022 թվականի հունվար-սեպտեմբեր ամիսներին զգալի աճ են գրանցել՝ պայմանավորված մի կողմից միջազգային շուկաներում տոկոսադրույքների բարձրացման միտումով, մյուս կողմից՝ ռուս-ուկրաինական հակամարտության առաջացրած ռիսկերի</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ներքո տարածաշրջանի երկրների, այդ թվում՝ ՀՀ երկրի ռիսկի հավելավճարի աճով։ Միջազգային կապիտալի շուկայում 2015 թվականին 7.5% եկամտաբերությամբ թողարկված պետական արտարժութային պարտատոմսերի եկամտաբերությունը 2022 թվականի հունվար-սեպտեմբեր ամիսներին միջինում կազմել է 6.7%՝ 2021 թվականի նույն ժամանակահատվածում արձանագրված 3.4%-ի դիմաց, 2019 թվականին 4.2% եկամտաբերությամբ թողարկված պարտատոմսերի եկամտաբերությունը միջինում կազմել է</w:t>
      </w:r>
      <w:r w:rsidR="005E5E31" w:rsidRPr="00CB15FF">
        <w:rPr>
          <w:rFonts w:ascii="GHEA Grapalat" w:eastAsia="Calibri" w:hAnsi="GHEA Grapalat" w:cs="Sylfaen"/>
          <w:sz w:val="22"/>
          <w:szCs w:val="22"/>
        </w:rPr>
        <w:t xml:space="preserve"> 7.</w:t>
      </w:r>
      <w:r w:rsidR="007E72A4" w:rsidRPr="00CB15FF">
        <w:rPr>
          <w:rFonts w:ascii="GHEA Grapalat" w:eastAsia="Calibri" w:hAnsi="GHEA Grapalat" w:cs="Sylfaen"/>
          <w:sz w:val="22"/>
          <w:szCs w:val="22"/>
        </w:rPr>
        <w:t>3%` 2021 թվականի նույն ժամանակահատվածում գրանցված 4.2%-ի դիմաց, իսկ 2021 թվականի փետրվարին 3.9% եկամտաբերությամբ թողարկված պարտատոմսերի եկամտաբերությունը միջինում կազմել է 7.4%` նախորդ տարվա նույն ժամանակահատվածի 4.4%-ի համեմատությամբ։</w:t>
      </w:r>
    </w:p>
    <w:p w:rsidR="007E72A4"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 xml:space="preserve">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կոշտացման քաղաքականությամբ։ Այսպես, ԱՄՆ 10 տարի ժամկետայնությամբ պետական պարտատոմսերի եկամտաբերությունը միջինում կազմել է 2.7%` նախորդ տարվա նույն </w:t>
      </w:r>
      <w:r w:rsidRPr="00CB15FF">
        <w:rPr>
          <w:rFonts w:ascii="GHEA Grapalat" w:eastAsia="Calibri" w:hAnsi="GHEA Grapalat" w:cs="Sylfaen"/>
          <w:sz w:val="22"/>
          <w:szCs w:val="22"/>
        </w:rPr>
        <w:lastRenderedPageBreak/>
        <w:t>ժամանակահատվածի 1.4%-ի համեմատությամբ։ Զարգացած երկրներում (ԱՄՆ-ում, Մեծ Բրիտանիայում, Եվրոմիությունում) տոկոսադրույքների բարձրացումը, ինչպես նաև ռուս-ուկրաինական համակամարտության առաջացրած ռիսկերը հանգեցրել են զարգացող երկրներից կապիտալի արտահոսքի, ինչի արդյունքում բարձրացել է զարգացող երկրների արտարժութային պարտատոմսերի ռիսկի հավելավճարը:</w:t>
      </w:r>
    </w:p>
    <w:p w:rsidR="00633D4A"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ՀՀ երկրի ռիսկի հավելավճարը ևս զգալիորեն ավելացել է՝ ինչպես զարգացող երկրներին բնորոշ միտումների, այնպես էլ՝ ռուս-ուկրաինական հակամարտության պայմաններում տարածաշրջանի երկրներում ռիսկերի ավելացման ազդեցությամբ։ Մասնավորապես, 2029 թվականին մարվող եվրապարտատոմսերի ռիսկի հավելավճարը 2022 թվականի հունվար-սեպտեմբերին միջինում կազմել է 4.7 տոկոսային կետ՝ նախորդ տարվա նույն ժամանակահատվածի 2.9 տոկոսային կետ ցուցանիշի դիմաց։</w:t>
      </w:r>
    </w:p>
    <w:p w:rsidR="00785E13" w:rsidRPr="00CB15FF" w:rsidRDefault="00785E13" w:rsidP="00C320C6">
      <w:pPr>
        <w:spacing w:line="360" w:lineRule="auto"/>
        <w:ind w:firstLine="567"/>
        <w:jc w:val="both"/>
        <w:rPr>
          <w:rFonts w:ascii="GHEA Grapalat" w:eastAsia="Calibri" w:hAnsi="GHEA Grapalat" w:cs="Sylfaen"/>
          <w:sz w:val="22"/>
          <w:szCs w:val="22"/>
        </w:rPr>
      </w:pPr>
    </w:p>
    <w:p w:rsidR="00563135" w:rsidRPr="00CB15FF"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28" w:name="_Toc71283308"/>
      <w:bookmarkStart w:id="29" w:name="_Toc71311888"/>
      <w:bookmarkStart w:id="30" w:name="_Toc165291848"/>
      <w:r w:rsidRPr="00CB15FF">
        <w:rPr>
          <w:rFonts w:ascii="GHEA Grapalat" w:hAnsi="GHEA Grapalat"/>
          <w:i w:val="0"/>
          <w:noProof/>
          <w:sz w:val="22"/>
          <w:szCs w:val="22"/>
          <w:lang w:val="de-AT"/>
        </w:rPr>
        <w:t>ՀԱՐԿԱԲՅՈՒՋԵՏԱՅԻՆ ՔԱՂԱՔԱԿԱՆՈՒԹՅԱՆ ՀԻՄՆԱԿԱՆ ԶԱՐԳԱՑՈՒՄՆԵՐԸ</w:t>
      </w:r>
      <w:bookmarkEnd w:id="28"/>
      <w:bookmarkEnd w:id="29"/>
      <w:bookmarkEnd w:id="30"/>
      <w:r w:rsidRPr="00CB15FF">
        <w:rPr>
          <w:rFonts w:ascii="GHEA Grapalat" w:hAnsi="GHEA Grapalat"/>
          <w:i w:val="0"/>
          <w:noProof/>
          <w:sz w:val="22"/>
          <w:szCs w:val="22"/>
          <w:lang w:val="de-AT"/>
        </w:rPr>
        <w:t xml:space="preserve"> </w:t>
      </w:r>
    </w:p>
    <w:p w:rsidR="007A2730" w:rsidRPr="00CB15FF" w:rsidRDefault="007E72A4" w:rsidP="007A2730">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2022 թվականի ինն ամիսներին բարձր տնտեսական աճի պայմաններում հարկաբյուջետային քաղաքականության ազդեցությունն ամբողջական պահանաջարկի վրա եղել է զսպող: Ընդ որում, նախորդ տարվա նույն ժամանակահատվածի համեմատ մի կողմից արձանագրվել է պետական բյուջեի եկամուտների գերակատարում, մյուս կողմից</w:t>
      </w:r>
      <w:r w:rsidR="005E5E31"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ծախսերի թերակատարում, ինչի արդյունքում ձևավորվել է պետական բյուջեի հավելուրդ՝ պլանավորված պակասուրդի փոխարեն:</w:t>
      </w:r>
    </w:p>
    <w:p w:rsidR="007E72A4" w:rsidRPr="00CB15FF" w:rsidRDefault="007A2730"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Պետական բյուջեի եկամուտները: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2022 թվականի ինն ամիսներին ՀՀ պետական բյուջեի եկամուտներն աճել են բարձր տեմպերով՝ պայմանավորված բարձր</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տնտեսական աճով և գնաճով, ինչպես նաև հարկային օրենսդրության փոփոխություններով: Ընդ որում, ինն ամիսների տնտեսական ակտիվության տեմպերի արագացմանը զուգընթաց, հարկերի հավաքագրման բարձր աճի տեմպեր</w:t>
      </w:r>
      <w:r w:rsidR="005E5E31" w:rsidRPr="00CB15FF">
        <w:rPr>
          <w:rFonts w:ascii="GHEA Grapalat" w:eastAsia="Calibri" w:hAnsi="GHEA Grapalat" w:cs="Sylfaen"/>
          <w:sz w:val="22"/>
          <w:szCs w:val="22"/>
        </w:rPr>
        <w:t>ն</w:t>
      </w:r>
      <w:r w:rsidR="007E72A4" w:rsidRPr="00CB15FF">
        <w:rPr>
          <w:rFonts w:ascii="GHEA Grapalat" w:eastAsia="Calibri" w:hAnsi="GHEA Grapalat" w:cs="Sylfaen"/>
          <w:sz w:val="22"/>
          <w:szCs w:val="22"/>
        </w:rPr>
        <w:t xml:space="preserve"> ընդհանուր առմամբ պահպանվել են ամբողջ ինն ամիսների ընթացքում: 2022 թվականի հունվար-սեպտեմբեր ամիսների արդյունքներով ՀՀ պետական բյուջեի ընդհանուր եկամուտները կազմել են 1500.8 մլրդ դրամ՝ նախորդ տարվա նույն ժամանակահատվածի համեմատ աճելով 24.9%-ով, իսկ հարկերը և տուրքերը կազմել են 1405.8 մլրդ դրամ՝ նախորդ տարվա նույն ժամանակահատվածի համեմատ աճելով 23.6%-ով: Հարկային եկամուտների աճը հիմնականում պայմանավորված է հարկման բազաների (հիմնականում</w:t>
      </w:r>
      <w:r w:rsidR="005E5E31" w:rsidRPr="00CB15FF">
        <w:rPr>
          <w:rFonts w:ascii="GHEA Grapalat" w:eastAsia="Calibri" w:hAnsi="GHEA Grapalat" w:cs="Sylfaen"/>
          <w:sz w:val="22"/>
          <w:szCs w:val="22"/>
        </w:rPr>
        <w:t>՝</w:t>
      </w:r>
      <w:r w:rsidR="007E72A4" w:rsidRPr="00CB15FF">
        <w:rPr>
          <w:rFonts w:ascii="GHEA Grapalat" w:eastAsia="Calibri" w:hAnsi="GHEA Grapalat" w:cs="Sylfaen"/>
          <w:sz w:val="22"/>
          <w:szCs w:val="22"/>
        </w:rPr>
        <w:t xml:space="preserve"> սպառման և ներմուծման, ինչպես նաև</w:t>
      </w:r>
      <w:r w:rsidR="005E5E31" w:rsidRPr="00CB15FF">
        <w:rPr>
          <w:rFonts w:ascii="GHEA Grapalat" w:eastAsia="Calibri" w:hAnsi="GHEA Grapalat" w:cs="Sylfaen"/>
          <w:sz w:val="22"/>
          <w:szCs w:val="22"/>
        </w:rPr>
        <w:t>՝</w:t>
      </w:r>
      <w:r w:rsidR="007E72A4" w:rsidRPr="00CB15FF">
        <w:rPr>
          <w:rFonts w:ascii="GHEA Grapalat" w:eastAsia="Calibri" w:hAnsi="GHEA Grapalat" w:cs="Sylfaen"/>
          <w:sz w:val="22"/>
          <w:szCs w:val="22"/>
        </w:rPr>
        <w:t xml:space="preserve"> շահույթների և աշխատավարձերի) աճի, ինչպես նաև 2021 թվականին իրականացված հարկային օրենսդրության բարեփոխումներով, մասնավորապես՝ արտահանման տուրքի ներդրմամբ, որը գործել է մինչև 2022</w:t>
      </w:r>
      <w:r w:rsidR="005E5E31"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թ</w:t>
      </w:r>
      <w:r w:rsidR="005E5E31" w:rsidRPr="00CB15FF">
        <w:rPr>
          <w:rFonts w:ascii="GHEA Grapalat" w:eastAsia="Calibri" w:hAnsi="GHEA Grapalat" w:cs="Sylfaen"/>
          <w:sz w:val="22"/>
          <w:szCs w:val="22"/>
        </w:rPr>
        <w:t>վականի</w:t>
      </w:r>
      <w:r w:rsidR="007E72A4" w:rsidRPr="00CB15FF">
        <w:rPr>
          <w:rFonts w:ascii="GHEA Grapalat" w:eastAsia="Calibri" w:hAnsi="GHEA Grapalat" w:cs="Sylfaen"/>
          <w:sz w:val="22"/>
          <w:szCs w:val="22"/>
        </w:rPr>
        <w:t xml:space="preserve"> սեպտեմբերի 1-ը: </w:t>
      </w:r>
    </w:p>
    <w:p w:rsidR="007E72A4" w:rsidRPr="00CB15FF" w:rsidRDefault="007E72A4" w:rsidP="007E72A4">
      <w:pPr>
        <w:spacing w:line="360" w:lineRule="auto"/>
        <w:ind w:firstLine="567"/>
        <w:jc w:val="both"/>
        <w:rPr>
          <w:rFonts w:ascii="GHEA Grapalat" w:eastAsia="Calibri" w:hAnsi="GHEA Grapalat" w:cs="Sylfaen"/>
          <w:sz w:val="22"/>
          <w:szCs w:val="22"/>
        </w:rPr>
      </w:pPr>
    </w:p>
    <w:p w:rsidR="007E72A4" w:rsidRPr="00CB15FF" w:rsidRDefault="007E72A4" w:rsidP="00594346">
      <w:pPr>
        <w:pStyle w:val="a"/>
        <w:ind w:left="0" w:firstLine="0"/>
      </w:pPr>
      <w:r w:rsidRPr="00CB15FF">
        <w:lastRenderedPageBreak/>
        <w:t>Պետական բյուջեի հարկային եկամուտները 2021-2022թթ. ըստ ամիսների</w:t>
      </w:r>
    </w:p>
    <w:p w:rsidR="007E72A4" w:rsidRPr="00CB15FF" w:rsidRDefault="007E72A4" w:rsidP="007E72A4">
      <w:pPr>
        <w:autoSpaceDE w:val="0"/>
        <w:autoSpaceDN w:val="0"/>
        <w:adjustRightInd w:val="0"/>
        <w:spacing w:after="120" w:line="276" w:lineRule="auto"/>
        <w:ind w:hanging="90"/>
        <w:jc w:val="center"/>
        <w:rPr>
          <w:rFonts w:ascii="GHEA Grapalat" w:eastAsia="GHEA Grapalat" w:hAnsi="GHEA Grapalat" w:cs="GHEA Grapalat"/>
          <w:sz w:val="22"/>
          <w:szCs w:val="22"/>
        </w:rPr>
      </w:pPr>
      <w:r w:rsidRPr="00CB15FF">
        <w:rPr>
          <w:rFonts w:ascii="GHEA Grapalat" w:eastAsia="GHEA Grapalat" w:hAnsi="GHEA Grapalat" w:cs="GHEA Grapalat"/>
          <w:noProof/>
        </w:rPr>
        <w:drawing>
          <wp:inline distT="0" distB="0" distL="0" distR="0" wp14:anchorId="2951B580" wp14:editId="3EACA6F3">
            <wp:extent cx="5760000" cy="2880000"/>
            <wp:effectExtent l="0" t="0" r="1270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2730" w:rsidRPr="00CB15FF" w:rsidRDefault="007A2730" w:rsidP="007A2730">
      <w:pPr>
        <w:spacing w:line="360" w:lineRule="auto"/>
        <w:ind w:firstLine="567"/>
        <w:jc w:val="both"/>
        <w:rPr>
          <w:rFonts w:ascii="GHEA Grapalat" w:eastAsia="Calibri" w:hAnsi="GHEA Grapalat" w:cs="Sylfaen"/>
          <w:sz w:val="22"/>
          <w:szCs w:val="22"/>
        </w:rPr>
      </w:pPr>
    </w:p>
    <w:p w:rsidR="007E72A4" w:rsidRPr="00CB15FF" w:rsidRDefault="007A2730"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Պետական բյուջեի ծախսերը: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Պետական բյուջեի ծախսերը 2022</w:t>
      </w:r>
      <w:r w:rsidR="005E5E31"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թ</w:t>
      </w:r>
      <w:r w:rsidR="005E5E31" w:rsidRPr="00CB15FF">
        <w:rPr>
          <w:rFonts w:ascii="GHEA Grapalat" w:eastAsia="Calibri" w:hAnsi="GHEA Grapalat" w:cs="Sylfaen"/>
          <w:sz w:val="22"/>
          <w:szCs w:val="22"/>
        </w:rPr>
        <w:t>վականի</w:t>
      </w:r>
      <w:r w:rsidR="007E72A4" w:rsidRPr="00CB15FF">
        <w:rPr>
          <w:rFonts w:ascii="GHEA Grapalat" w:eastAsia="Calibri" w:hAnsi="GHEA Grapalat" w:cs="Sylfaen"/>
          <w:sz w:val="22"/>
          <w:szCs w:val="22"/>
        </w:rPr>
        <w:t xml:space="preserve"> ինն ամիսներին աճել են, սակայն ծրագրվածի համեմատ արձանագրվել է էական թերակատարում: 2022 թվականի ինն ամիսներին պետական բյուջեի ծախսերը կազմել են 1449.3 մլրդ դրամ՝ նախորդ տարվա նույն ժամանակահատվածի համեմատ աճելով 7.4%-ով: Նույն ժամանակահատվածում ընթացիկ ծախսերը կազմել են 1275.5 մլրդ դրամ` նախորդ տարվա նույն ժամանակահատվածի համեմատ աճելով 4.2%</w:t>
      </w:r>
      <w:r w:rsidR="007E72A4" w:rsidRPr="00CB15FF">
        <w:rPr>
          <w:rFonts w:ascii="GHEA Grapalat" w:eastAsia="Calibri" w:hAnsi="GHEA Grapalat" w:cs="Sylfaen"/>
          <w:sz w:val="22"/>
          <w:szCs w:val="22"/>
        </w:rPr>
        <w:noBreakHyphen/>
        <w:t>ով:</w:t>
      </w:r>
    </w:p>
    <w:p w:rsidR="007A2730"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Ոչ ֆինանսական ակտիվների հետ գործառնությունները կազմել են 173.9 մլրդ դրամ, որում ոչ ֆինանսական ակտիվների գծով ծախսերը (կապիտալ ծախսեր) կազմել են 179.0 մլրդ դրամ` նախորդ տարվա նույն ժամանակահատվածի նկատմամբ աճելով 41.4%</w:t>
      </w:r>
      <w:r w:rsidRPr="00CB15FF">
        <w:rPr>
          <w:rFonts w:ascii="GHEA Grapalat" w:eastAsia="Calibri" w:hAnsi="GHEA Grapalat" w:cs="Sylfaen"/>
          <w:sz w:val="22"/>
          <w:szCs w:val="22"/>
        </w:rPr>
        <w:noBreakHyphen/>
        <w:t>ով՝ պայմանավորված ինչպես տնտեսական ենթակառուցվածքների, այնպես էլ պաշտպանության ոլորտի</w:t>
      </w:r>
      <w:r w:rsidR="00AA1BA3" w:rsidRPr="00CB15FF">
        <w:rPr>
          <w:rFonts w:ascii="GHEA Grapalat" w:eastAsia="Calibri" w:hAnsi="GHEA Grapalat" w:cs="Sylfaen"/>
          <w:sz w:val="22"/>
          <w:szCs w:val="22"/>
        </w:rPr>
        <w:t xml:space="preserve"> </w:t>
      </w:r>
      <w:r w:rsidRPr="00CB15FF">
        <w:rPr>
          <w:rFonts w:ascii="GHEA Grapalat" w:eastAsia="Calibri" w:hAnsi="GHEA Grapalat" w:cs="Sylfaen"/>
          <w:sz w:val="22"/>
          <w:szCs w:val="22"/>
        </w:rPr>
        <w:t>ծախսերի աճերով: Ընթացիկ ծախսերում ներառված</w:t>
      </w:r>
      <w:r w:rsidR="005E5E31"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համայնքներին տրվող կապիտալ բնույթի սուբվենցիաների գծով ծախսերը կազմել են 6.4 մլրդ դրամ, որոնք նախորդ տարվա նույն ժամանակահատվածի նկատմամբ աճել են 41.8%</w:t>
      </w:r>
      <w:r w:rsidRPr="00CB15FF">
        <w:rPr>
          <w:rFonts w:ascii="GHEA Grapalat" w:eastAsia="Calibri" w:hAnsi="GHEA Grapalat" w:cs="Sylfaen"/>
          <w:sz w:val="22"/>
          <w:szCs w:val="22"/>
        </w:rPr>
        <w:noBreakHyphen/>
        <w:t>ով: Չնայած կապիտալ ծախսերի բարձր աճին՝ 2022 թվականի ինն ամիսներին կապիտալ ծախսերի ճշտված ծրագրի կատարողականը վատթարացել է՝ կազմելով 63.2%՝ նախորդ տարվա նույն ժամանակահատվածի 68.3%-ի դիմաց։ Ե՛վ ներքին, և՛ արտաքին միջոցների հաշվին իրականացված կապիտալ ծախսերը թերակատարվել են, սակայն ավելի ցածր կատարողական է արձանագրվել արտաքին աջակցությամբ իրականացվող ծախսերի գծով, որոնց շրջանակներում օգտագործվել է ինն ամիսների ծրագրված միջոցների ընդամենը 50.3%-ը: Կատարողականի համեմատաբար ցածր ցուցանիշները ցույց են տալիս, որ կապիտալ ծրագրերի կառավարման և իրականացման խնդիրը շարունակում է մնալ արդիական։</w:t>
      </w:r>
    </w:p>
    <w:p w:rsidR="007E72A4" w:rsidRPr="00CB15FF" w:rsidRDefault="001607A1"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lastRenderedPageBreak/>
        <w:t>Պետական աջակցության ծրագրերը: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2022</w:t>
      </w:r>
      <w:r w:rsidR="005E5E31"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թ</w:t>
      </w:r>
      <w:r w:rsidR="005E5E31" w:rsidRPr="00CB15FF">
        <w:rPr>
          <w:rFonts w:ascii="GHEA Grapalat" w:eastAsia="Calibri" w:hAnsi="GHEA Grapalat" w:cs="Sylfaen"/>
          <w:sz w:val="22"/>
          <w:szCs w:val="22"/>
        </w:rPr>
        <w:t>վականի</w:t>
      </w:r>
      <w:r w:rsidR="007E72A4" w:rsidRPr="00CB15FF">
        <w:rPr>
          <w:rFonts w:ascii="GHEA Grapalat" w:eastAsia="Calibri" w:hAnsi="GHEA Grapalat" w:cs="Sylfaen"/>
          <w:sz w:val="22"/>
          <w:szCs w:val="22"/>
        </w:rPr>
        <w:t xml:space="preserve"> հունվար-սեպտեմբերին շարունակել են իրականացվել համավարակի և Արցախյան պատերազմի, ինչպես նաև</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արտարժույթի մեծ ներհոսքի հետևանքով դրամի արժևորման և ստեղծված բարձր գնաճային միջավայրի հետևանքների մեղմման հարկաբյուջետային միջոցառումներ:</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 xml:space="preserve">2022 թվականի ինն ամիսներին ՀՀ պետական բյուջեի ընթացիկ ծախսերի կազմում կորոնավիրուսի (COVID-19) սոցիալ-տնտեսական հետևանքների չեզոքացման նպատակով իրականացված միջոցառումների գծով հատկացված միջոցների ծավալը կազմել է 13.5 մլրդ դրամ: Նույն ժամանակահատվածում ՀՀ պետական բյուջեից </w:t>
      </w:r>
      <w:r w:rsidR="005E5E31" w:rsidRPr="00CB15FF">
        <w:rPr>
          <w:rFonts w:ascii="GHEA Grapalat" w:eastAsia="Calibri" w:hAnsi="GHEA Grapalat" w:cs="Sylfaen"/>
          <w:sz w:val="22"/>
          <w:szCs w:val="22"/>
        </w:rPr>
        <w:t>շարունակ</w:t>
      </w:r>
      <w:r w:rsidR="007E72A4" w:rsidRPr="00CB15FF">
        <w:rPr>
          <w:rFonts w:ascii="GHEA Grapalat" w:eastAsia="Calibri" w:hAnsi="GHEA Grapalat" w:cs="Sylfaen"/>
          <w:sz w:val="22"/>
          <w:szCs w:val="22"/>
        </w:rPr>
        <w:t>ել են իրականացվել Արցախյան պատերազմի հետևանքների մեղմ</w:t>
      </w:r>
      <w:r w:rsidR="005E5E31" w:rsidRPr="00CB15FF">
        <w:rPr>
          <w:rFonts w:ascii="GHEA Grapalat" w:eastAsia="Calibri" w:hAnsi="GHEA Grapalat" w:cs="Sylfaen"/>
          <w:sz w:val="22"/>
          <w:szCs w:val="22"/>
        </w:rPr>
        <w:t>մ</w:t>
      </w:r>
      <w:r w:rsidR="007E72A4" w:rsidRPr="00CB15FF">
        <w:rPr>
          <w:rFonts w:ascii="GHEA Grapalat" w:eastAsia="Calibri" w:hAnsi="GHEA Grapalat" w:cs="Sylfaen"/>
          <w:sz w:val="22"/>
          <w:szCs w:val="22"/>
        </w:rPr>
        <w:t>անն ուղղված միջոցառումները, որոնց ծավալն ինն ամիսներին կազմել է շուրջ 1.2 մլրդ դրամ:</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Բացի այդ</w:t>
      </w:r>
      <w:r w:rsidR="005E5E31" w:rsidRPr="00CB15FF">
        <w:rPr>
          <w:rFonts w:ascii="GHEA Grapalat" w:eastAsia="Calibri" w:hAnsi="GHEA Grapalat" w:cs="Sylfaen"/>
          <w:sz w:val="22"/>
          <w:szCs w:val="22"/>
        </w:rPr>
        <w:t>,</w:t>
      </w:r>
      <w:r w:rsidR="007E72A4" w:rsidRPr="00CB15FF">
        <w:rPr>
          <w:rFonts w:ascii="GHEA Grapalat" w:eastAsia="Calibri" w:hAnsi="GHEA Grapalat" w:cs="Sylfaen"/>
          <w:sz w:val="22"/>
          <w:szCs w:val="22"/>
        </w:rPr>
        <w:t xml:space="preserve"> աճել է ՀՀ պետական բյուջեից Արցախի Հանրապետությանը տրամադրված միջպետական վարկի ծավալը՝ կազմելով</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 xml:space="preserve">130.4 մլրդ դրամ՝ նախորդ տարվա նույն ժամանակահատվածի 91.3 մլրդ դրամի համեմատ: </w:t>
      </w:r>
    </w:p>
    <w:p w:rsidR="001607A1"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Դեպի ՀՀ կապիտալի լրացուցիչ հոսքերով պայմանավորված ՀՀ դրամի արժևորման պայմաններում արտահանելի հատվածին աջակցելու նպատակով ՀՀ կառավարությունը 2022թ. մարտի 24-ի թիվ N399-Լ որոշմամբ նախատեսել է տեղեկատվական տեխնոլոգիաների ոլորտի առևտրային կազմակերպություններին և անհատ ձեռնարկատերերին, որոնք համապատասխանում են որոշմամբ սահմանված պահանջներին, տրամադրել պետական աջակցություն՝ նոր ընդունված աշխատողների գծով պետական բյուջե վճարված եկամտային հարկի 50 տոկոսի չափով: Այս ծրագրի գծով փաստացի ծախսերը հաշվետու ժամանակահատվածում կազմել են շուրջ 1.4 մլրդ դրամ: 2022 թ</w:t>
      </w:r>
      <w:r w:rsidR="00C1377B" w:rsidRPr="00CB15FF">
        <w:rPr>
          <w:rFonts w:ascii="GHEA Grapalat" w:eastAsia="Calibri" w:hAnsi="GHEA Grapalat" w:cs="Sylfaen"/>
          <w:sz w:val="22"/>
          <w:szCs w:val="22"/>
        </w:rPr>
        <w:t>վականի</w:t>
      </w:r>
      <w:r w:rsidRPr="00CB15FF">
        <w:rPr>
          <w:rFonts w:ascii="GHEA Grapalat" w:eastAsia="Calibri" w:hAnsi="GHEA Grapalat" w:cs="Sylfaen"/>
          <w:sz w:val="22"/>
          <w:szCs w:val="22"/>
        </w:rPr>
        <w:t xml:space="preserve"> հունվար-սեպտեմբեր ամիսներին կառավարությունն իրականացրել է սոցիալական և տնտեսական միջոցառումներ նաև բարձր գնաճի հետևանքների մեղմ</w:t>
      </w:r>
      <w:r w:rsidR="00C1377B" w:rsidRPr="00CB15FF">
        <w:rPr>
          <w:rFonts w:ascii="GHEA Grapalat" w:eastAsia="Calibri" w:hAnsi="GHEA Grapalat" w:cs="Sylfaen"/>
          <w:sz w:val="22"/>
          <w:szCs w:val="22"/>
        </w:rPr>
        <w:t>մ</w:t>
      </w:r>
      <w:r w:rsidRPr="00CB15FF">
        <w:rPr>
          <w:rFonts w:ascii="GHEA Grapalat" w:eastAsia="Calibri" w:hAnsi="GHEA Grapalat" w:cs="Sylfaen"/>
          <w:sz w:val="22"/>
          <w:szCs w:val="22"/>
        </w:rPr>
        <w:t xml:space="preserve">ան նպատակով: Ընթացիկ տարվա բարձր տնտեսական աճի և հարկային եկամուտների գերակատարման արդյունքում կառավարությունը սեպտեմբերի 1-ից բարձարացրել է կենսաթոշակներն ու նպաստները, </w:t>
      </w:r>
      <w:r w:rsidR="00C1377B" w:rsidRPr="00CB15FF">
        <w:rPr>
          <w:rFonts w:ascii="GHEA Grapalat" w:eastAsia="Calibri" w:hAnsi="GHEA Grapalat" w:cs="Sylfaen"/>
          <w:sz w:val="22"/>
          <w:szCs w:val="22"/>
        </w:rPr>
        <w:t>որոնք</w:t>
      </w:r>
      <w:r w:rsidRPr="00CB15FF">
        <w:rPr>
          <w:rFonts w:ascii="GHEA Grapalat" w:eastAsia="Calibri" w:hAnsi="GHEA Grapalat" w:cs="Sylfaen"/>
          <w:sz w:val="22"/>
          <w:szCs w:val="22"/>
        </w:rPr>
        <w:t xml:space="preserve"> նախատեսվել էր բարձրացնել 2023 թ</w:t>
      </w:r>
      <w:r w:rsidR="00C1377B" w:rsidRPr="00CB15FF">
        <w:rPr>
          <w:rFonts w:ascii="GHEA Grapalat" w:eastAsia="Calibri" w:hAnsi="GHEA Grapalat" w:cs="Sylfaen"/>
          <w:sz w:val="22"/>
          <w:szCs w:val="22"/>
        </w:rPr>
        <w:t>վական</w:t>
      </w:r>
      <w:r w:rsidRPr="00CB15FF">
        <w:rPr>
          <w:rFonts w:ascii="GHEA Grapalat" w:eastAsia="Calibri" w:hAnsi="GHEA Grapalat" w:cs="Sylfaen"/>
          <w:sz w:val="22"/>
          <w:szCs w:val="22"/>
        </w:rPr>
        <w:t>ի հունվարի</w:t>
      </w:r>
      <w:r w:rsidR="00C1377B" w:rsidRPr="00CB15FF">
        <w:rPr>
          <w:rFonts w:ascii="GHEA Grapalat" w:eastAsia="Calibri" w:hAnsi="GHEA Grapalat" w:cs="Sylfaen"/>
          <w:sz w:val="22"/>
          <w:szCs w:val="22"/>
        </w:rPr>
        <w:t xml:space="preserve"> 1</w:t>
      </w:r>
      <w:r w:rsidR="00C1377B" w:rsidRPr="00CB15FF">
        <w:rPr>
          <w:rFonts w:ascii="GHEA Grapalat" w:eastAsia="Calibri" w:hAnsi="GHEA Grapalat" w:cs="Sylfaen"/>
          <w:sz w:val="22"/>
          <w:szCs w:val="22"/>
        </w:rPr>
        <w:noBreakHyphen/>
      </w:r>
      <w:r w:rsidRPr="00CB15FF">
        <w:rPr>
          <w:rFonts w:ascii="GHEA Grapalat" w:eastAsia="Calibri" w:hAnsi="GHEA Grapalat" w:cs="Sylfaen"/>
          <w:sz w:val="22"/>
          <w:szCs w:val="22"/>
        </w:rPr>
        <w:t>ից: 2022</w:t>
      </w:r>
      <w:r w:rsidR="00C1377B" w:rsidRPr="00CB15FF">
        <w:rPr>
          <w:rFonts w:ascii="GHEA Grapalat" w:eastAsia="Calibri" w:hAnsi="GHEA Grapalat" w:cs="Sylfaen"/>
          <w:sz w:val="22"/>
          <w:szCs w:val="22"/>
        </w:rPr>
        <w:t xml:space="preserve"> </w:t>
      </w:r>
      <w:r w:rsidRPr="00CB15FF">
        <w:rPr>
          <w:rFonts w:ascii="GHEA Grapalat" w:eastAsia="Calibri" w:hAnsi="GHEA Grapalat" w:cs="Sylfaen"/>
          <w:sz w:val="22"/>
          <w:szCs w:val="22"/>
        </w:rPr>
        <w:t>թ</w:t>
      </w:r>
      <w:r w:rsidR="00C1377B" w:rsidRPr="00CB15FF">
        <w:rPr>
          <w:rFonts w:ascii="GHEA Grapalat" w:eastAsia="Calibri" w:hAnsi="GHEA Grapalat" w:cs="Sylfaen"/>
          <w:sz w:val="22"/>
          <w:szCs w:val="22"/>
        </w:rPr>
        <w:t>վական</w:t>
      </w:r>
      <w:r w:rsidRPr="00CB15FF">
        <w:rPr>
          <w:rFonts w:ascii="GHEA Grapalat" w:eastAsia="Calibri" w:hAnsi="GHEA Grapalat" w:cs="Sylfaen"/>
          <w:sz w:val="22"/>
          <w:szCs w:val="22"/>
        </w:rPr>
        <w:t>ի ինն ամիսներին կենսաթոշակները նախորդ տարվա նույն ժամանակահատվածի նկատմամբ աճել են</w:t>
      </w:r>
      <w:r w:rsidR="00C1377B" w:rsidRPr="00CB15FF">
        <w:rPr>
          <w:rFonts w:ascii="GHEA Grapalat" w:eastAsia="Calibri" w:hAnsi="GHEA Grapalat" w:cs="Sylfaen"/>
          <w:sz w:val="22"/>
          <w:szCs w:val="22"/>
        </w:rPr>
        <w:t xml:space="preserve"> 16.9</w:t>
      </w:r>
      <w:r w:rsidRPr="00CB15FF">
        <w:rPr>
          <w:rFonts w:ascii="GHEA Grapalat" w:eastAsia="Calibri" w:hAnsi="GHEA Grapalat" w:cs="Sylfaen"/>
          <w:sz w:val="22"/>
          <w:szCs w:val="22"/>
        </w:rPr>
        <w:t>%-ով: Բացի այդ, էապես աճել են նաև գյուղատնտեսությ</w:t>
      </w:r>
      <w:r w:rsidR="00583AC3" w:rsidRPr="00CB15FF">
        <w:rPr>
          <w:rFonts w:ascii="GHEA Grapalat" w:eastAsia="Calibri" w:hAnsi="GHEA Grapalat" w:cs="Sylfaen"/>
          <w:sz w:val="22"/>
          <w:szCs w:val="22"/>
        </w:rPr>
        <w:t>ա</w:t>
      </w:r>
      <w:r w:rsidRPr="00CB15FF">
        <w:rPr>
          <w:rFonts w:ascii="GHEA Grapalat" w:eastAsia="Calibri" w:hAnsi="GHEA Grapalat" w:cs="Sylfaen"/>
          <w:sz w:val="22"/>
          <w:szCs w:val="22"/>
        </w:rPr>
        <w:t>ն</w:t>
      </w:r>
      <w:r w:rsidR="00583AC3" w:rsidRPr="00CB15FF">
        <w:rPr>
          <w:rFonts w:ascii="GHEA Grapalat" w:eastAsia="Calibri" w:hAnsi="GHEA Grapalat" w:cs="Sylfaen"/>
          <w:sz w:val="22"/>
          <w:szCs w:val="22"/>
        </w:rPr>
        <w:t xml:space="preserve"> և ոռոգման</w:t>
      </w:r>
      <w:r w:rsidRPr="00CB15FF">
        <w:rPr>
          <w:rFonts w:ascii="GHEA Grapalat" w:eastAsia="Calibri" w:hAnsi="GHEA Grapalat" w:cs="Sylfaen"/>
          <w:sz w:val="22"/>
          <w:szCs w:val="22"/>
        </w:rPr>
        <w:t xml:space="preserve"> ոլորտ</w:t>
      </w:r>
      <w:r w:rsidR="00583AC3" w:rsidRPr="00CB15FF">
        <w:rPr>
          <w:rFonts w:ascii="GHEA Grapalat" w:eastAsia="Calibri" w:hAnsi="GHEA Grapalat" w:cs="Sylfaen"/>
          <w:sz w:val="22"/>
          <w:szCs w:val="22"/>
        </w:rPr>
        <w:t>ներ</w:t>
      </w:r>
      <w:r w:rsidRPr="00CB15FF">
        <w:rPr>
          <w:rFonts w:ascii="GHEA Grapalat" w:eastAsia="Calibri" w:hAnsi="GHEA Grapalat" w:cs="Sylfaen"/>
          <w:sz w:val="22"/>
          <w:szCs w:val="22"/>
        </w:rPr>
        <w:t>ի սուբսիդիաները՝ նախորդ տարվա նույն ժամանակահատվածի 17.6 մլրդ դրամից դառնալով 31.4 մլրդ դրամ՝ աճելով 78.2%-ով:</w:t>
      </w:r>
    </w:p>
    <w:p w:rsidR="001607A1" w:rsidRPr="00CB15FF" w:rsidRDefault="007A2730" w:rsidP="001607A1">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Պետական բյուջեի պակասուրդը: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Վերոնշյալ զարգացումների արդյունքում պետական բյուջեն եղել է հավելուրդային: 2022 թվականի ինն ամիսներին ձևավորվել է պետական բյուջեի 51.4 մլրդ դրամ հավելուրդ՝ նախորդ տարվա նույն ժամանակահատվածի 147.5 մլրդ դրամ պակասուրդի դիմաց:</w:t>
      </w:r>
    </w:p>
    <w:p w:rsidR="007A2730" w:rsidRPr="00CB15FF" w:rsidRDefault="007A2730" w:rsidP="007A2730">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Հարկաբյուջետային ազդակը: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 xml:space="preserve">2022 թվականի ինն ամիսների բարձր տնտեսական աճի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2022 թվականի ինն ամիսներին նախորդ տարվա նույն ժամանակահատվածի </w:t>
      </w:r>
      <w:r w:rsidR="007E72A4" w:rsidRPr="00CB15FF">
        <w:rPr>
          <w:rFonts w:ascii="GHEA Grapalat" w:eastAsia="Calibri" w:hAnsi="GHEA Grapalat" w:cs="Sylfaen"/>
          <w:sz w:val="22"/>
          <w:szCs w:val="22"/>
        </w:rPr>
        <w:lastRenderedPageBreak/>
        <w:t>նկատմամբ ունեցել է զսպող (-2.2) ազդեցություն` պայմանավորված եկամուտների (-1.2) և ծախսերի (-1.1) զսպող ազդեցություններով:</w:t>
      </w:r>
    </w:p>
    <w:p w:rsidR="007E72A4" w:rsidRPr="00CB15FF" w:rsidRDefault="007E72A4" w:rsidP="007A2730">
      <w:pPr>
        <w:spacing w:line="360" w:lineRule="auto"/>
        <w:ind w:firstLine="567"/>
        <w:jc w:val="both"/>
        <w:rPr>
          <w:rFonts w:ascii="GHEA Grapalat" w:eastAsia="Calibri" w:hAnsi="GHEA Grapalat" w:cs="Sylfaen"/>
          <w:sz w:val="22"/>
          <w:szCs w:val="22"/>
        </w:rPr>
      </w:pPr>
    </w:p>
    <w:p w:rsidR="007E72A4" w:rsidRPr="00CB15FF" w:rsidRDefault="007E72A4" w:rsidP="00594346">
      <w:pPr>
        <w:pStyle w:val="a"/>
        <w:ind w:left="0" w:firstLine="0"/>
      </w:pPr>
      <w:r w:rsidRPr="00CB15FF">
        <w:t>Հարկաբյուջետային ազդակը 2019 թվականից եռամսյակային կտրվածքով (կուտակային)</w:t>
      </w:r>
      <w:r w:rsidRPr="00CB15FF">
        <w:rPr>
          <w:vertAlign w:val="superscript"/>
        </w:rPr>
        <w:footnoteReference w:id="29"/>
      </w:r>
    </w:p>
    <w:p w:rsidR="00563135" w:rsidRPr="00CB15FF" w:rsidRDefault="007E72A4" w:rsidP="007E72A4">
      <w:pPr>
        <w:tabs>
          <w:tab w:val="left" w:pos="0"/>
          <w:tab w:val="left" w:pos="900"/>
        </w:tabs>
        <w:spacing w:after="120" w:line="276" w:lineRule="auto"/>
        <w:jc w:val="center"/>
        <w:rPr>
          <w:rFonts w:ascii="GHEA Grapalat" w:hAnsi="GHEA Grapalat" w:cs="GHEA Grapalat"/>
          <w:sz w:val="22"/>
          <w:szCs w:val="22"/>
        </w:rPr>
        <w:sectPr w:rsidR="00563135" w:rsidRPr="00CB15FF" w:rsidSect="009C41C6">
          <w:pgSz w:w="11907" w:h="16840" w:code="9"/>
          <w:pgMar w:top="1134" w:right="567" w:bottom="567" w:left="1134" w:header="720" w:footer="567" w:gutter="0"/>
          <w:cols w:space="720"/>
        </w:sectPr>
      </w:pPr>
      <w:r w:rsidRPr="00CB15FF">
        <w:rPr>
          <w:rFonts w:ascii="GHEA Grapalat" w:eastAsia="GHEA Grapalat" w:hAnsi="GHEA Grapalat" w:cs="GHEA Grapalat"/>
          <w:b/>
          <w:noProof/>
        </w:rPr>
        <w:drawing>
          <wp:inline distT="0" distB="0" distL="0" distR="0" wp14:anchorId="008D7BA4" wp14:editId="4ECD015E">
            <wp:extent cx="5760000" cy="2880000"/>
            <wp:effectExtent l="0" t="0" r="1270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25A7" w:rsidRPr="00CB15FF" w:rsidRDefault="00AE25A7"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1" w:name="_Toc100315622"/>
      <w:bookmarkStart w:id="32" w:name="_Toc102746162"/>
      <w:bookmarkStart w:id="33" w:name="_Toc165291849"/>
      <w:r w:rsidRPr="00CB15FF">
        <w:rPr>
          <w:rFonts w:ascii="GHEA Grapalat" w:hAnsi="GHEA Grapalat"/>
          <w:i w:val="0"/>
          <w:noProof/>
          <w:sz w:val="22"/>
          <w:szCs w:val="22"/>
          <w:lang w:val="de-AT"/>
        </w:rPr>
        <w:lastRenderedPageBreak/>
        <w:t>Հավելված: Տնտեսության ճյուղերի և ենթաճյուղերի, արտահանման և ներմուծման ապրանքախմբերի հիմնական ցուցանիշների աղյուսակներ</w:t>
      </w:r>
      <w:bookmarkEnd w:id="31"/>
      <w:bookmarkEnd w:id="32"/>
      <w:bookmarkEnd w:id="33"/>
    </w:p>
    <w:p w:rsidR="007A2AE4" w:rsidRPr="000F6B0F" w:rsidRDefault="007A2730" w:rsidP="007A2AE4">
      <w:pPr>
        <w:jc w:val="center"/>
        <w:rPr>
          <w:rFonts w:ascii="GHEA Grapalat" w:hAnsi="GHEA Grapalat"/>
          <w:sz w:val="22"/>
          <w:szCs w:val="20"/>
          <w:lang w:val="de-AT"/>
        </w:rPr>
      </w:pPr>
      <w:r w:rsidRPr="00CB15FF">
        <w:rPr>
          <w:rFonts w:ascii="GHEA Grapalat" w:hAnsi="GHEA Grapalat" w:cs="Arial"/>
          <w:b/>
          <w:sz w:val="22"/>
          <w:szCs w:val="20"/>
        </w:rPr>
        <w:t>Աղյուսակ</w:t>
      </w:r>
      <w:r w:rsidRPr="000F6B0F">
        <w:rPr>
          <w:rFonts w:ascii="GHEA Grapalat" w:hAnsi="GHEA Grapalat" w:cs="Arial"/>
          <w:b/>
          <w:sz w:val="22"/>
          <w:szCs w:val="20"/>
          <w:lang w:val="de-AT"/>
        </w:rPr>
        <w:t xml:space="preserve"> 1: </w:t>
      </w:r>
      <w:r w:rsidR="007A2AE4" w:rsidRPr="00CB15FF">
        <w:rPr>
          <w:rFonts w:ascii="GHEA Grapalat" w:hAnsi="GHEA Grapalat" w:cs="Arial"/>
          <w:sz w:val="22"/>
          <w:szCs w:val="20"/>
        </w:rPr>
        <w:t>Տնտեսության</w:t>
      </w:r>
      <w:r w:rsidR="007A2AE4" w:rsidRPr="000F6B0F">
        <w:rPr>
          <w:rFonts w:ascii="GHEA Grapalat" w:hAnsi="GHEA Grapalat" w:cs="Arial"/>
          <w:sz w:val="22"/>
          <w:szCs w:val="20"/>
          <w:lang w:val="de-AT"/>
        </w:rPr>
        <w:t xml:space="preserve"> </w:t>
      </w:r>
      <w:r w:rsidR="007A2AE4" w:rsidRPr="00CB15FF">
        <w:rPr>
          <w:rFonts w:ascii="GHEA Grapalat" w:hAnsi="GHEA Grapalat" w:cs="Arial"/>
          <w:sz w:val="22"/>
          <w:szCs w:val="20"/>
        </w:rPr>
        <w:t>ճյուղերի</w:t>
      </w:r>
      <w:r w:rsidR="007A2AE4" w:rsidRPr="000F6B0F">
        <w:rPr>
          <w:rFonts w:ascii="GHEA Grapalat" w:hAnsi="GHEA Grapalat" w:cs="Arial"/>
          <w:sz w:val="22"/>
          <w:szCs w:val="20"/>
          <w:lang w:val="de-AT"/>
        </w:rPr>
        <w:t xml:space="preserve"> </w:t>
      </w:r>
      <w:r w:rsidR="007A2AE4" w:rsidRPr="00CB15FF">
        <w:rPr>
          <w:rFonts w:ascii="GHEA Grapalat" w:hAnsi="GHEA Grapalat" w:cs="Arial"/>
          <w:sz w:val="22"/>
          <w:szCs w:val="20"/>
        </w:rPr>
        <w:t>և</w:t>
      </w:r>
      <w:r w:rsidR="007A2AE4" w:rsidRPr="000F6B0F">
        <w:rPr>
          <w:rFonts w:ascii="GHEA Grapalat" w:hAnsi="GHEA Grapalat" w:cs="Arial"/>
          <w:sz w:val="22"/>
          <w:szCs w:val="20"/>
          <w:lang w:val="de-AT"/>
        </w:rPr>
        <w:t xml:space="preserve"> </w:t>
      </w:r>
      <w:r w:rsidR="007A2AE4" w:rsidRPr="00CB15FF">
        <w:rPr>
          <w:rFonts w:ascii="GHEA Grapalat" w:hAnsi="GHEA Grapalat" w:cs="Arial"/>
          <w:sz w:val="22"/>
          <w:szCs w:val="20"/>
        </w:rPr>
        <w:t>ենթաճյուղերի</w:t>
      </w:r>
      <w:r w:rsidR="007A2AE4" w:rsidRPr="000F6B0F">
        <w:rPr>
          <w:rFonts w:ascii="GHEA Grapalat" w:hAnsi="GHEA Grapalat" w:cs="Arial"/>
          <w:sz w:val="22"/>
          <w:szCs w:val="20"/>
          <w:lang w:val="de-AT"/>
        </w:rPr>
        <w:t xml:space="preserve"> </w:t>
      </w:r>
      <w:r w:rsidR="007A2AE4" w:rsidRPr="00CB15FF">
        <w:rPr>
          <w:rFonts w:ascii="GHEA Grapalat" w:hAnsi="GHEA Grapalat" w:cs="Arial"/>
          <w:sz w:val="22"/>
          <w:szCs w:val="20"/>
        </w:rPr>
        <w:t>թողարկման</w:t>
      </w:r>
      <w:r w:rsidR="007A2AE4" w:rsidRPr="000F6B0F">
        <w:rPr>
          <w:rFonts w:ascii="GHEA Grapalat" w:hAnsi="GHEA Grapalat"/>
          <w:sz w:val="22"/>
          <w:szCs w:val="20"/>
          <w:lang w:val="de-AT"/>
        </w:rPr>
        <w:t xml:space="preserve"> </w:t>
      </w:r>
      <w:r w:rsidR="007A2AE4" w:rsidRPr="00CB15FF">
        <w:rPr>
          <w:rFonts w:ascii="GHEA Grapalat" w:hAnsi="GHEA Grapalat" w:cs="Arial"/>
          <w:sz w:val="22"/>
          <w:szCs w:val="20"/>
        </w:rPr>
        <w:t>ծավալների</w:t>
      </w:r>
      <w:r w:rsidR="007A2AE4" w:rsidRPr="000F6B0F">
        <w:rPr>
          <w:rFonts w:ascii="GHEA Grapalat" w:hAnsi="GHEA Grapalat"/>
          <w:sz w:val="22"/>
          <w:szCs w:val="20"/>
          <w:lang w:val="de-AT"/>
        </w:rPr>
        <w:t xml:space="preserve"> </w:t>
      </w:r>
      <w:r w:rsidR="007A2AE4" w:rsidRPr="00CB15FF">
        <w:rPr>
          <w:rFonts w:ascii="GHEA Grapalat" w:hAnsi="GHEA Grapalat" w:cs="Arial"/>
          <w:sz w:val="22"/>
          <w:szCs w:val="20"/>
        </w:rPr>
        <w:t>ցուցանիշները</w:t>
      </w:r>
      <w:r w:rsidR="007A2AE4" w:rsidRPr="000F6B0F">
        <w:rPr>
          <w:rFonts w:ascii="GHEA Grapalat" w:hAnsi="GHEA Grapalat" w:cs="Arial"/>
          <w:sz w:val="22"/>
          <w:szCs w:val="20"/>
          <w:lang w:val="de-AT"/>
        </w:rPr>
        <w:t>,</w:t>
      </w:r>
      <w:r w:rsidR="007A2AE4" w:rsidRPr="000F6B0F">
        <w:rPr>
          <w:rFonts w:ascii="GHEA Grapalat" w:hAnsi="GHEA Grapalat"/>
          <w:sz w:val="22"/>
          <w:szCs w:val="20"/>
          <w:lang w:val="de-AT"/>
        </w:rPr>
        <w:t xml:space="preserve"> </w:t>
      </w:r>
    </w:p>
    <w:p w:rsidR="007A2730" w:rsidRPr="00CB15FF" w:rsidRDefault="007A2AE4" w:rsidP="007A2AE4">
      <w:pPr>
        <w:jc w:val="center"/>
        <w:rPr>
          <w:rFonts w:ascii="GHEA Grapalat" w:hAnsi="GHEA Grapalat"/>
          <w:sz w:val="22"/>
          <w:szCs w:val="20"/>
        </w:rPr>
      </w:pPr>
      <w:r w:rsidRPr="00CB15FF">
        <w:rPr>
          <w:rFonts w:ascii="GHEA Grapalat" w:hAnsi="GHEA Grapalat"/>
          <w:sz w:val="22"/>
          <w:szCs w:val="20"/>
        </w:rPr>
        <w:t>2022</w:t>
      </w:r>
      <w:r w:rsidRPr="00CB15FF">
        <w:rPr>
          <w:rFonts w:ascii="GHEA Grapalat" w:hAnsi="GHEA Grapalat" w:cs="Arial"/>
          <w:sz w:val="22"/>
          <w:szCs w:val="20"/>
        </w:rPr>
        <w:t xml:space="preserve"> թվականի</w:t>
      </w:r>
      <w:r w:rsidRPr="00CB15FF">
        <w:rPr>
          <w:rFonts w:ascii="GHEA Grapalat" w:hAnsi="GHEA Grapalat"/>
          <w:sz w:val="22"/>
          <w:szCs w:val="20"/>
        </w:rPr>
        <w:t xml:space="preserve"> հունվար-սեպտեմբեր</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center"/>
              <w:rPr>
                <w:rFonts w:ascii="GHEA Grapalat" w:hAnsi="GHEA Grapalat"/>
                <w:bCs w:val="0"/>
                <w:i/>
                <w:iCs/>
                <w:color w:val="FF0000"/>
                <w:sz w:val="20"/>
                <w:szCs w:val="20"/>
                <w:lang w:val="hy-AM"/>
              </w:rPr>
            </w:pP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34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25"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65"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r w:rsidRPr="00CB15FF">
              <w:rPr>
                <w:rStyle w:val="FootnoteReference"/>
                <w:rFonts w:ascii="GHEA Grapalat" w:hAnsi="GHEA Grapalat"/>
                <w:bCs w:val="0"/>
                <w:sz w:val="20"/>
                <w:szCs w:val="20"/>
              </w:rPr>
              <w:footnoteReference w:id="30"/>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Ամբողջ արդյունաբերություն, այդ թվում՝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1881.8</w:t>
            </w:r>
          </w:p>
        </w:tc>
        <w:tc>
          <w:tcPr>
            <w:tcW w:w="134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2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110.0</w:t>
            </w:r>
          </w:p>
        </w:tc>
        <w:tc>
          <w:tcPr>
            <w:tcW w:w="186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w:t>
            </w:r>
          </w:p>
        </w:tc>
      </w:tr>
      <w:tr w:rsidR="007E72A4" w:rsidRPr="00CB15FF" w:rsidTr="00AA1BA3">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rPr>
                <w:rFonts w:ascii="GHEA Grapalat" w:hAnsi="GHEA Grapalat"/>
                <w:sz w:val="20"/>
                <w:szCs w:val="20"/>
              </w:rPr>
            </w:pPr>
            <w:r w:rsidRPr="00CB15FF">
              <w:rPr>
                <w:rFonts w:ascii="Calibri" w:hAnsi="Calibri" w:cs="Calibri"/>
                <w:sz w:val="20"/>
                <w:szCs w:val="20"/>
              </w:rPr>
              <w:t> </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4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2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6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ind w:left="270" w:hanging="180"/>
              <w:rPr>
                <w:rFonts w:ascii="GHEA Grapalat" w:hAnsi="GHEA Grapalat"/>
                <w:b w:val="0"/>
                <w:bCs w:val="0"/>
                <w:sz w:val="20"/>
                <w:szCs w:val="20"/>
                <w:lang w:val="hy-AM"/>
              </w:rPr>
            </w:pPr>
            <w:r w:rsidRPr="00CB15FF">
              <w:rPr>
                <w:rFonts w:ascii="GHEA Grapalat" w:hAnsi="GHEA Grapalat"/>
                <w:b w:val="0"/>
                <w:bCs w:val="0"/>
                <w:sz w:val="20"/>
                <w:szCs w:val="20"/>
                <w:lang w:val="hy-AM"/>
              </w:rPr>
              <w:t>հանքագործական արդյունաբերություն և բացահանքերի շահագործում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400.3</w:t>
            </w:r>
          </w:p>
        </w:tc>
        <w:tc>
          <w:tcPr>
            <w:tcW w:w="134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21.3</w:t>
            </w:r>
          </w:p>
        </w:tc>
        <w:tc>
          <w:tcPr>
            <w:tcW w:w="122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93.6</w:t>
            </w:r>
          </w:p>
        </w:tc>
        <w:tc>
          <w:tcPr>
            <w:tcW w:w="186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left="270" w:hanging="180"/>
              <w:rPr>
                <w:rFonts w:ascii="GHEA Grapalat" w:hAnsi="GHEA Grapalat"/>
                <w:b w:val="0"/>
                <w:bCs w:val="0"/>
                <w:sz w:val="20"/>
                <w:szCs w:val="20"/>
              </w:rPr>
            </w:pPr>
            <w:r w:rsidRPr="00CB15FF">
              <w:rPr>
                <w:rFonts w:ascii="GHEA Grapalat" w:hAnsi="GHEA Grapalat"/>
                <w:b w:val="0"/>
                <w:bCs w:val="0"/>
                <w:sz w:val="20"/>
                <w:szCs w:val="20"/>
              </w:rPr>
              <w:t>մշակող արդյունաբերություն</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1218.6</w:t>
            </w:r>
          </w:p>
        </w:tc>
        <w:tc>
          <w:tcPr>
            <w:tcW w:w="134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64.8</w:t>
            </w:r>
          </w:p>
        </w:tc>
        <w:tc>
          <w:tcPr>
            <w:tcW w:w="122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119.1</w:t>
            </w:r>
          </w:p>
        </w:tc>
        <w:tc>
          <w:tcPr>
            <w:tcW w:w="186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11.3</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ind w:left="270" w:hanging="180"/>
              <w:rPr>
                <w:rFonts w:ascii="GHEA Grapalat" w:hAnsi="GHEA Grapalat"/>
                <w:b w:val="0"/>
                <w:bCs w:val="0"/>
                <w:sz w:val="20"/>
                <w:szCs w:val="20"/>
                <w:lang w:val="hy-AM"/>
              </w:rPr>
            </w:pPr>
            <w:r w:rsidRPr="00CB15FF">
              <w:rPr>
                <w:rFonts w:ascii="GHEA Grapalat" w:hAnsi="GHEA Grapalat"/>
                <w:b w:val="0"/>
                <w:bCs w:val="0"/>
                <w:sz w:val="20"/>
                <w:szCs w:val="20"/>
                <w:lang w:val="hy-AM"/>
              </w:rPr>
              <w:t xml:space="preserve"> էլեկտրաէներգիայի, գազի, գոլորշու և լավորակ օդի մատակարարում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242.5</w:t>
            </w:r>
          </w:p>
        </w:tc>
        <w:tc>
          <w:tcPr>
            <w:tcW w:w="134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12.9</w:t>
            </w:r>
          </w:p>
        </w:tc>
        <w:tc>
          <w:tcPr>
            <w:tcW w:w="122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102.6</w:t>
            </w:r>
          </w:p>
        </w:tc>
        <w:tc>
          <w:tcPr>
            <w:tcW w:w="186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0.3</w:t>
            </w:r>
          </w:p>
        </w:tc>
      </w:tr>
      <w:tr w:rsidR="007E72A4" w:rsidRPr="00CB15FF" w:rsidTr="00AA1BA3">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ind w:left="270" w:hanging="180"/>
              <w:rPr>
                <w:rFonts w:ascii="GHEA Grapalat" w:hAnsi="GHEA Grapalat"/>
                <w:b w:val="0"/>
                <w:bCs w:val="0"/>
                <w:sz w:val="20"/>
                <w:szCs w:val="20"/>
                <w:lang w:val="hy-AM"/>
              </w:rPr>
            </w:pPr>
            <w:r w:rsidRPr="00CB15FF">
              <w:rPr>
                <w:rFonts w:ascii="GHEA Grapalat" w:hAnsi="GHEA Grapalat"/>
                <w:b w:val="0"/>
                <w:bCs w:val="0"/>
                <w:sz w:val="20"/>
                <w:szCs w:val="20"/>
                <w:lang w:val="hy-AM"/>
              </w:rPr>
              <w:t>ջրամատակարարում, կոյուղի, թափոնների կառավարում և վերամշակում</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20.5</w:t>
            </w:r>
          </w:p>
        </w:tc>
        <w:tc>
          <w:tcPr>
            <w:tcW w:w="134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w:t>
            </w:r>
          </w:p>
        </w:tc>
        <w:tc>
          <w:tcPr>
            <w:tcW w:w="122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107.7</w:t>
            </w:r>
          </w:p>
        </w:tc>
        <w:tc>
          <w:tcPr>
            <w:tcW w:w="186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0.1</w:t>
            </w:r>
          </w:p>
        </w:tc>
      </w:tr>
    </w:tbl>
    <w:p w:rsidR="007E72A4" w:rsidRPr="00CB15FF" w:rsidRDefault="007E72A4" w:rsidP="007E72A4">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00" w:firstLine="800"/>
              <w:rPr>
                <w:rFonts w:ascii="GHEA Grapalat" w:hAnsi="GHEA Grapalat"/>
                <w:sz w:val="20"/>
                <w:szCs w:val="20"/>
              </w:rPr>
            </w:pPr>
            <w:r w:rsidRPr="00CB15FF">
              <w:rPr>
                <w:rFonts w:ascii="Calibri" w:hAnsi="Calibri" w:cs="Calibri"/>
                <w:sz w:val="20"/>
                <w:szCs w:val="20"/>
              </w:rPr>
              <w:t> </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35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lang w:val="hy-AM"/>
              </w:rPr>
            </w:pPr>
            <w:r w:rsidRPr="00CB15FF">
              <w:rPr>
                <w:rFonts w:ascii="GHEA Grapalat" w:hAnsi="GHEA Grapalat"/>
                <w:bCs w:val="0"/>
                <w:sz w:val="20"/>
                <w:szCs w:val="20"/>
                <w:lang w:val="hy-AM"/>
              </w:rPr>
              <w:t>Գյուղատնտեսություն, անտառային տնտեսություն և ձկնորսություն</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714.6</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100.5</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0.5</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jc w:val="right"/>
              <w:rPr>
                <w:rFonts w:ascii="GHEA Grapalat" w:hAnsi="GHEA Grapalat"/>
                <w:sz w:val="20"/>
                <w:szCs w:val="20"/>
              </w:rPr>
            </w:pPr>
            <w:r w:rsidRPr="00CB15FF">
              <w:rPr>
                <w:rFonts w:ascii="GHEA Grapalat" w:hAnsi="GHEA Grapalat"/>
                <w:i/>
                <w:iCs/>
                <w:sz w:val="20"/>
                <w:szCs w:val="20"/>
              </w:rPr>
              <w:t>այդ թվում`</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բուսաբուծություն</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390.0</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54.6</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101.8</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անասնաբուծություն</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282.8</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39.6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95.9</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անտառային տնտեսություն</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1.5</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107.6</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0.0</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ձկնորսություն</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40.3</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126.3</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w:t>
            </w:r>
          </w:p>
        </w:tc>
      </w:tr>
    </w:tbl>
    <w:p w:rsidR="007E72A4" w:rsidRPr="00CB15FF" w:rsidRDefault="007E72A4" w:rsidP="007A2AE4">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center"/>
              <w:rPr>
                <w:rFonts w:ascii="GHEA Grapalat" w:hAnsi="GHEA Grapalat"/>
                <w:i/>
                <w:iCs/>
                <w:sz w:val="20"/>
                <w:szCs w:val="20"/>
              </w:rPr>
            </w:pPr>
            <w:r w:rsidRPr="00CB15FF">
              <w:rPr>
                <w:rFonts w:ascii="GHEA Grapalat" w:hAnsi="GHEA Grapalat"/>
                <w:i/>
                <w:iCs/>
                <w:sz w:val="20"/>
                <w:szCs w:val="20"/>
              </w:rPr>
              <w:t>ըստ ֆինանսավորման աղբյուրների</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35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Շինարարություն</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300.2</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100.0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114.3</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14.3</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right"/>
              <w:rPr>
                <w:rFonts w:ascii="GHEA Grapalat" w:hAnsi="GHEA Grapalat"/>
                <w:b w:val="0"/>
                <w:bCs w:val="0"/>
                <w:sz w:val="20"/>
                <w:szCs w:val="20"/>
              </w:rPr>
            </w:pPr>
            <w:r w:rsidRPr="00CB15FF">
              <w:rPr>
                <w:rFonts w:ascii="Calibri" w:hAnsi="Calibri" w:cs="Calibri"/>
                <w:b w:val="0"/>
                <w:bCs w:val="0"/>
                <w:sz w:val="20"/>
                <w:szCs w:val="20"/>
              </w:rPr>
              <w:t> </w:t>
            </w:r>
            <w:r w:rsidRPr="00CB15FF">
              <w:rPr>
                <w:rFonts w:ascii="GHEA Grapalat" w:hAnsi="GHEA Grapalat"/>
                <w:i/>
                <w:iCs/>
                <w:sz w:val="20"/>
                <w:szCs w:val="20"/>
              </w:rPr>
              <w:t>այդ թվում`</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 xml:space="preserve">պետական բյուջեի, </w:t>
            </w:r>
            <w:r w:rsidRPr="00CB15FF">
              <w:rPr>
                <w:rFonts w:ascii="GHEA Grapalat" w:hAnsi="GHEA Grapalat"/>
                <w:b w:val="0"/>
                <w:i/>
                <w:sz w:val="20"/>
                <w:szCs w:val="20"/>
              </w:rPr>
              <w:t>այդ թվում՝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83.6</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27.9</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99.8</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-0.1</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jc w:val="center"/>
              <w:rPr>
                <w:rFonts w:ascii="GHEA Grapalat" w:hAnsi="GHEA Grapalat"/>
                <w:b w:val="0"/>
                <w:i/>
                <w:iCs/>
                <w:sz w:val="20"/>
                <w:szCs w:val="20"/>
              </w:rPr>
            </w:pPr>
            <w:r w:rsidRPr="00CB15FF">
              <w:rPr>
                <w:rFonts w:ascii="GHEA Grapalat" w:hAnsi="GHEA Grapalat"/>
                <w:b w:val="0"/>
                <w:i/>
                <w:iCs/>
                <w:sz w:val="20"/>
                <w:szCs w:val="20"/>
              </w:rPr>
              <w:t>միջազգային վարկերի</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25.1</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8.4</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53.9</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-8.3</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համայնքների միջոցների</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12.3</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4.1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148.1</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1.5</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մարդասիրական օգնության միջոցների</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2.7</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0.9</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101.5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0.0</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 xml:space="preserve">կազմակերպությունների միջոցների, </w:t>
            </w:r>
            <w:r w:rsidRPr="00CB15FF">
              <w:rPr>
                <w:rFonts w:ascii="GHEA Grapalat" w:hAnsi="GHEA Grapalat"/>
                <w:b w:val="0"/>
                <w:i/>
                <w:sz w:val="20"/>
                <w:szCs w:val="20"/>
              </w:rPr>
              <w:t>այդ թվում՝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141.1</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47.0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133.5</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13.5</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AA1BA3" w:rsidP="00AA1BA3">
            <w:pPr>
              <w:ind w:firstLineChars="45" w:firstLine="90"/>
              <w:jc w:val="center"/>
              <w:rPr>
                <w:rFonts w:ascii="GHEA Grapalat" w:hAnsi="GHEA Grapalat"/>
                <w:b w:val="0"/>
                <w:i/>
                <w:iCs/>
                <w:sz w:val="20"/>
                <w:szCs w:val="20"/>
              </w:rPr>
            </w:pPr>
            <w:r w:rsidRPr="00CB15FF">
              <w:rPr>
                <w:rFonts w:ascii="GHEA Grapalat" w:hAnsi="GHEA Grapalat"/>
                <w:b w:val="0"/>
                <w:i/>
                <w:iCs/>
                <w:sz w:val="20"/>
                <w:szCs w:val="20"/>
              </w:rPr>
              <w:t xml:space="preserve"> </w:t>
            </w:r>
            <w:r w:rsidR="007E72A4" w:rsidRPr="00CB15FF">
              <w:rPr>
                <w:rFonts w:ascii="GHEA Grapalat" w:hAnsi="GHEA Grapalat"/>
                <w:b w:val="0"/>
                <w:i/>
                <w:iCs/>
                <w:sz w:val="20"/>
                <w:szCs w:val="20"/>
              </w:rPr>
              <w:t>օտարերկրյա ներդրողների</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9.5</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3.2</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81.7</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-0.8</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բնակչության միջոցների</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60.6</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20.2</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97.3</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-0.6</w:t>
            </w:r>
          </w:p>
        </w:tc>
      </w:tr>
    </w:tbl>
    <w:p w:rsidR="007E72A4" w:rsidRPr="00CB15FF" w:rsidRDefault="007E72A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E72A4" w:rsidRPr="00CB15FF" w:rsidRDefault="007E72A4" w:rsidP="007E72A4">
      <w:pPr>
        <w:rPr>
          <w:rFonts w:ascii="GHEA Grapalat" w:hAnsi="GHEA Grapalat" w:cs="Arial"/>
          <w:b/>
          <w:sz w:val="20"/>
          <w:szCs w:val="20"/>
        </w:rPr>
      </w:pPr>
    </w:p>
    <w:p w:rsidR="007E72A4" w:rsidRPr="00CB15FF" w:rsidRDefault="007E72A4" w:rsidP="007E72A4">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00" w:firstLine="800"/>
              <w:rPr>
                <w:rFonts w:ascii="GHEA Grapalat" w:hAnsi="GHEA Grapalat"/>
                <w:sz w:val="20"/>
                <w:szCs w:val="20"/>
              </w:rPr>
            </w:pPr>
            <w:r w:rsidRPr="00CB15FF">
              <w:rPr>
                <w:rFonts w:ascii="Calibri" w:hAnsi="Calibri" w:cs="Calibri"/>
                <w:sz w:val="20"/>
                <w:szCs w:val="20"/>
              </w:rPr>
              <w:lastRenderedPageBreak/>
              <w:t> </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w:t>
            </w:r>
            <w:r w:rsidR="00AA1BA3" w:rsidRPr="00CB15FF">
              <w:rPr>
                <w:rFonts w:ascii="GHEA Grapalat" w:hAnsi="GHEA Grapalat"/>
                <w:bCs w:val="0"/>
                <w:sz w:val="20"/>
                <w:szCs w:val="20"/>
              </w:rPr>
              <w:t xml:space="preserve"> </w:t>
            </w:r>
            <w:r w:rsidRPr="00CB15FF">
              <w:rPr>
                <w:rFonts w:ascii="GHEA Grapalat" w:hAnsi="GHEA Grapalat"/>
                <w:bCs w:val="0"/>
                <w:sz w:val="20"/>
                <w:szCs w:val="20"/>
              </w:rPr>
              <w:t>դրամ)</w:t>
            </w:r>
          </w:p>
        </w:tc>
        <w:tc>
          <w:tcPr>
            <w:tcW w:w="1394"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16"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Առևտուր</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3018.1</w:t>
            </w:r>
          </w:p>
        </w:tc>
        <w:tc>
          <w:tcPr>
            <w:tcW w:w="1394"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16"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114.5</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14.5</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right"/>
              <w:rPr>
                <w:rFonts w:ascii="GHEA Grapalat" w:hAnsi="GHEA Grapalat"/>
                <w:b w:val="0"/>
                <w:bCs w:val="0"/>
                <w:sz w:val="20"/>
                <w:szCs w:val="20"/>
              </w:rPr>
            </w:pPr>
            <w:r w:rsidRPr="00CB15FF">
              <w:rPr>
                <w:rFonts w:ascii="Calibri" w:hAnsi="Calibri" w:cs="Calibri"/>
                <w:b w:val="0"/>
                <w:bCs w:val="0"/>
                <w:sz w:val="20"/>
                <w:szCs w:val="20"/>
              </w:rPr>
              <w:t> </w:t>
            </w:r>
            <w:r w:rsidRPr="00CB15FF">
              <w:rPr>
                <w:rFonts w:ascii="GHEA Grapalat" w:hAnsi="GHEA Grapalat"/>
                <w:i/>
                <w:iCs/>
                <w:sz w:val="20"/>
                <w:szCs w:val="20"/>
              </w:rPr>
              <w:t>այդ թվում`</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200" w:firstLine="400"/>
              <w:rPr>
                <w:rFonts w:ascii="GHEA Grapalat" w:hAnsi="GHEA Grapalat"/>
                <w:b w:val="0"/>
                <w:sz w:val="20"/>
                <w:szCs w:val="20"/>
              </w:rPr>
            </w:pPr>
            <w:r w:rsidRPr="00CB15FF">
              <w:rPr>
                <w:rFonts w:ascii="GHEA Grapalat" w:hAnsi="GHEA Grapalat"/>
                <w:b w:val="0"/>
                <w:sz w:val="20"/>
                <w:szCs w:val="20"/>
              </w:rPr>
              <w:t>մանրածախ առևտուր</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1159.3</w:t>
            </w:r>
          </w:p>
        </w:tc>
        <w:tc>
          <w:tcPr>
            <w:tcW w:w="1394"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38.4</w:t>
            </w:r>
          </w:p>
        </w:tc>
        <w:tc>
          <w:tcPr>
            <w:tcW w:w="1216"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102.1</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0.9</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200" w:firstLine="400"/>
              <w:rPr>
                <w:rFonts w:ascii="GHEA Grapalat" w:hAnsi="GHEA Grapalat"/>
                <w:b w:val="0"/>
                <w:sz w:val="20"/>
                <w:szCs w:val="20"/>
              </w:rPr>
            </w:pPr>
            <w:r w:rsidRPr="00CB15FF">
              <w:rPr>
                <w:rFonts w:ascii="GHEA Grapalat" w:hAnsi="GHEA Grapalat"/>
                <w:b w:val="0"/>
                <w:sz w:val="20"/>
                <w:szCs w:val="20"/>
              </w:rPr>
              <w:t>մեծածախ առևտուր</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1743.1</w:t>
            </w:r>
          </w:p>
        </w:tc>
        <w:tc>
          <w:tcPr>
            <w:tcW w:w="1394"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57.8</w:t>
            </w:r>
          </w:p>
        </w:tc>
        <w:tc>
          <w:tcPr>
            <w:tcW w:w="1216"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122.5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12.1</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200" w:firstLine="400"/>
              <w:rPr>
                <w:rFonts w:ascii="GHEA Grapalat" w:hAnsi="GHEA Grapalat"/>
                <w:b w:val="0"/>
                <w:sz w:val="20"/>
                <w:szCs w:val="20"/>
              </w:rPr>
            </w:pPr>
            <w:r w:rsidRPr="00CB15FF">
              <w:rPr>
                <w:rFonts w:ascii="GHEA Grapalat" w:hAnsi="GHEA Grapalat"/>
                <w:b w:val="0"/>
                <w:sz w:val="20"/>
                <w:szCs w:val="20"/>
              </w:rPr>
              <w:t>ավտոմեքենաների առևտուր</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115.7</w:t>
            </w:r>
          </w:p>
        </w:tc>
        <w:tc>
          <w:tcPr>
            <w:tcW w:w="1394"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3.8</w:t>
            </w:r>
          </w:p>
        </w:tc>
        <w:tc>
          <w:tcPr>
            <w:tcW w:w="1216"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147.8</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1.5</w:t>
            </w:r>
          </w:p>
        </w:tc>
      </w:tr>
    </w:tbl>
    <w:p w:rsidR="007E72A4" w:rsidRPr="00CB15FF" w:rsidRDefault="007E72A4" w:rsidP="007A2AE4">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7E72A4" w:rsidRPr="00CB15FF" w:rsidRDefault="007E72A4" w:rsidP="00AA1BA3">
            <w:pPr>
              <w:rPr>
                <w:rFonts w:ascii="GHEA Grapalat" w:hAnsi="GHEA Grapalat"/>
                <w:sz w:val="20"/>
                <w:szCs w:val="20"/>
              </w:rPr>
            </w:pPr>
            <w:r w:rsidRPr="00CB15FF">
              <w:rPr>
                <w:rFonts w:ascii="Calibri" w:hAnsi="Calibri" w:cs="Calibri"/>
                <w:sz w:val="20"/>
                <w:szCs w:val="20"/>
              </w:rPr>
              <w:t> </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Ծառայություններ</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1824.3</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127.1</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27.1</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E72A4" w:rsidRPr="00CB15FF" w:rsidRDefault="007E72A4" w:rsidP="00AA1BA3">
            <w:pPr>
              <w:rPr>
                <w:rFonts w:ascii="GHEA Grapalat" w:hAnsi="GHEA Grapalat"/>
                <w:b w:val="0"/>
                <w:bCs w:val="0"/>
                <w:sz w:val="20"/>
                <w:szCs w:val="20"/>
              </w:rPr>
            </w:pPr>
            <w:r w:rsidRPr="00CB15FF">
              <w:rPr>
                <w:rFonts w:ascii="Calibri" w:hAnsi="Calibri" w:cs="Calibri"/>
                <w:b w:val="0"/>
                <w:bCs w:val="0"/>
                <w:sz w:val="20"/>
                <w:szCs w:val="20"/>
              </w:rPr>
              <w:t> </w:t>
            </w:r>
            <w:r w:rsidRPr="00CB15FF">
              <w:rPr>
                <w:rFonts w:ascii="GHEA Grapalat" w:hAnsi="GHEA Grapalat"/>
                <w:i/>
                <w:iCs/>
                <w:sz w:val="20"/>
                <w:szCs w:val="20"/>
              </w:rPr>
              <w:t>այդ թվում`</w:t>
            </w:r>
          </w:p>
        </w:tc>
        <w:tc>
          <w:tcPr>
            <w:tcW w:w="1440" w:type="dxa"/>
            <w:noWrap/>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174.1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9.5</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119.2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1.8</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մշակույթ, զվարճություններ և հանգիստ</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185.7</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10.2</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106.8</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0.9</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 xml:space="preserve">կրթություն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47.1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2.6</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111.2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0.3</w:t>
            </w:r>
          </w:p>
        </w:tc>
      </w:tr>
      <w:tr w:rsidR="007E72A4" w:rsidRPr="00CB15FF" w:rsidTr="00AA1BA3">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95.8</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103.2</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անշարժ գույքի հետ կապված գործունեություն</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68.2</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3.7</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104.2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 xml:space="preserve">տեղեկատվություն և կապ </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315.6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135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6.0</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 xml:space="preserve">տրանսպորտ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228.9</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12.5</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136.7</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4.3</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վարչարարական և օժանդակ գործունեություն</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59.8</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121.5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0.7</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78.1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4.3</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114.2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0.7</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ֆինանսական և ապահովագրական գործունեություն</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553.6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30.3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145.5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11.8</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սպասարկման այլ ծառայություններ</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17.4</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118.0</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r>
    </w:tbl>
    <w:p w:rsidR="007A2730" w:rsidRPr="00CB15FF" w:rsidRDefault="007A2730" w:rsidP="007A2AE4">
      <w:pPr>
        <w:rPr>
          <w:rFonts w:ascii="GHEA Grapalat" w:hAnsi="GHEA Grapalat"/>
          <w:b/>
          <w:sz w:val="20"/>
          <w:szCs w:val="20"/>
        </w:rPr>
      </w:pPr>
    </w:p>
    <w:p w:rsidR="007A2AE4" w:rsidRPr="00CB15FF" w:rsidRDefault="007A2AE4" w:rsidP="007A2AE4">
      <w:pPr>
        <w:jc w:val="center"/>
        <w:rPr>
          <w:rFonts w:ascii="GHEA Grapalat" w:hAnsi="GHEA Grapalat" w:cs="Arial"/>
          <w:szCs w:val="20"/>
        </w:rPr>
      </w:pPr>
      <w:r w:rsidRPr="00CB15FF">
        <w:rPr>
          <w:rFonts w:ascii="GHEA Grapalat" w:hAnsi="GHEA Grapalat"/>
          <w:b/>
          <w:sz w:val="22"/>
          <w:szCs w:val="20"/>
        </w:rPr>
        <w:t xml:space="preserve">Աղյուսակ 2. </w:t>
      </w:r>
      <w:r w:rsidRPr="00CB15FF">
        <w:rPr>
          <w:rFonts w:ascii="GHEA Grapalat" w:hAnsi="GHEA Grapalat"/>
          <w:sz w:val="22"/>
          <w:szCs w:val="20"/>
        </w:rPr>
        <w:t xml:space="preserve">Արտահանման ապրանքային կառուցվածքը և նպաստումները 2022 թվականի </w:t>
      </w:r>
      <w:r w:rsidRPr="00CB15FF">
        <w:rPr>
          <w:rFonts w:ascii="GHEA Grapalat" w:hAnsi="GHEA Grapalat" w:cs="Arial"/>
          <w:sz w:val="22"/>
          <w:szCs w:val="20"/>
        </w:rPr>
        <w:t>հունվար</w:t>
      </w:r>
      <w:r w:rsidRPr="00CB15FF">
        <w:rPr>
          <w:rFonts w:ascii="GHEA Grapalat" w:hAnsi="GHEA Grapalat"/>
          <w:sz w:val="22"/>
          <w:szCs w:val="20"/>
        </w:rPr>
        <w:t>-</w:t>
      </w:r>
      <w:r w:rsidRPr="00CB15FF">
        <w:rPr>
          <w:rFonts w:ascii="GHEA Grapalat" w:hAnsi="GHEA Grapalat" w:cs="Arial"/>
          <w:sz w:val="22"/>
          <w:szCs w:val="20"/>
        </w:rPr>
        <w:t xml:space="preserve"> սեպտեմբեր ամիսների</w:t>
      </w:r>
      <w:r w:rsidRPr="00CB15FF">
        <w:rPr>
          <w:rFonts w:ascii="GHEA Grapalat" w:hAnsi="GHEA Grapalat"/>
          <w:sz w:val="22"/>
          <w:szCs w:val="20"/>
        </w:rPr>
        <w:t xml:space="preserve"> արտահանման աճին</w:t>
      </w: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7A2AE4" w:rsidRPr="00CB15FF" w:rsidTr="00AA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sz w:val="20"/>
                <w:szCs w:val="20"/>
              </w:rPr>
              <w:t>ԱՐՏԱՀԱՆՈՒՄ</w:t>
            </w:r>
          </w:p>
        </w:tc>
        <w:tc>
          <w:tcPr>
            <w:tcW w:w="1134"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bCs w:val="0"/>
                <w:sz w:val="20"/>
                <w:szCs w:val="20"/>
              </w:rPr>
              <w:t xml:space="preserve">Ծավալ </w:t>
            </w:r>
            <w:r w:rsidRPr="00CB15FF">
              <w:rPr>
                <w:rFonts w:ascii="GHEA Grapalat" w:hAnsi="GHEA Grapalat" w:cs="Sylfaen"/>
                <w:sz w:val="20"/>
                <w:szCs w:val="20"/>
              </w:rPr>
              <w:t>(մլն ԱՄՆ դոլար)</w:t>
            </w:r>
          </w:p>
        </w:tc>
        <w:tc>
          <w:tcPr>
            <w:tcW w:w="992"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Կշիռ</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1015"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Աճ</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1395"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cs="Sylfaen"/>
                <w:sz w:val="20"/>
                <w:szCs w:val="20"/>
              </w:rPr>
              <w:t>Նպաստում</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տոկոսային կետ</w:t>
            </w:r>
            <w:r w:rsidRPr="00CB15FF">
              <w:rPr>
                <w:rFonts w:ascii="GHEA Grapalat" w:hAnsi="GHEA Grapalat" w:cs="Sylfaen"/>
                <w:bCs w:val="0"/>
                <w:sz w:val="20"/>
                <w:szCs w:val="20"/>
                <w:lang w:val="ru-RU"/>
              </w:rPr>
              <w:t>)</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 xml:space="preserve">ԸՆԴԱՄԵՆԸ </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bCs/>
                <w:sz w:val="20"/>
                <w:szCs w:val="20"/>
              </w:rPr>
            </w:pPr>
            <w:r w:rsidRPr="00CB15FF">
              <w:rPr>
                <w:rFonts w:ascii="GHEA Grapalat" w:hAnsi="GHEA Grapalat" w:cs="Arial"/>
                <w:b/>
                <w:bCs/>
                <w:sz w:val="20"/>
                <w:szCs w:val="20"/>
              </w:rPr>
              <w:t>3509.4</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100.00</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bCs/>
                <w:sz w:val="20"/>
                <w:szCs w:val="20"/>
              </w:rPr>
            </w:pPr>
            <w:r w:rsidRPr="00CB15FF">
              <w:rPr>
                <w:rFonts w:ascii="GHEA Grapalat" w:hAnsi="GHEA Grapalat" w:cs="Arial"/>
                <w:b/>
                <w:bCs/>
                <w:sz w:val="20"/>
                <w:szCs w:val="20"/>
              </w:rPr>
              <w:t>63.8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bCs/>
                <w:sz w:val="20"/>
                <w:szCs w:val="20"/>
              </w:rPr>
            </w:pPr>
            <w:r w:rsidRPr="00CB15FF">
              <w:rPr>
                <w:rFonts w:ascii="GHEA Grapalat" w:hAnsi="GHEA Grapalat" w:cs="Arial"/>
                <w:b/>
                <w:bCs/>
                <w:sz w:val="20"/>
                <w:szCs w:val="20"/>
              </w:rPr>
              <w:t>63.8</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113.8</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3.2</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46.7</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1.7</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Բուսական ծագման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178.9</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5.1</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29.8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1.9</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2.3</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5330.2</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Պատրաստի սննդի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605.4</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17.3</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44.7</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8.7</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Հանքահումքային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785.4</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b/>
              </w:rPr>
              <w:t>22.4</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4.2</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1.5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51.1</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1.5</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100.8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38.0</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1.1</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173.4</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7.9</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0.2</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78.0</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Փայտ և փայտյա իրեր</w:t>
            </w:r>
            <w:r w:rsidR="00AA1BA3" w:rsidRPr="00CB15FF">
              <w:rPr>
                <w:rFonts w:ascii="GHEA Grapalat" w:hAnsi="GHEA Grapalat"/>
                <w:b w:val="0"/>
                <w:color w:val="000000"/>
                <w:sz w:val="20"/>
                <w:szCs w:val="20"/>
              </w:rPr>
              <w:t xml:space="preserve"> </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2.7</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332.6</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Թուղթ և թղթից</w:t>
            </w:r>
            <w:r w:rsidR="00AA1BA3" w:rsidRPr="00CB15FF">
              <w:rPr>
                <w:rFonts w:ascii="GHEA Grapalat" w:hAnsi="GHEA Grapalat"/>
                <w:b w:val="0"/>
                <w:color w:val="000000"/>
                <w:sz w:val="20"/>
                <w:szCs w:val="20"/>
              </w:rPr>
              <w:t xml:space="preserve"> </w:t>
            </w:r>
            <w:r w:rsidRPr="00CB15FF">
              <w:rPr>
                <w:rFonts w:ascii="GHEA Grapalat" w:hAnsi="GHEA Grapalat"/>
                <w:b w:val="0"/>
                <w:color w:val="000000"/>
                <w:sz w:val="20"/>
                <w:szCs w:val="20"/>
              </w:rPr>
              <w:t>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4.2</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254.5</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bCs w:val="0"/>
                <w:sz w:val="20"/>
                <w:szCs w:val="20"/>
              </w:rPr>
            </w:pPr>
            <w:r w:rsidRPr="00CB15FF">
              <w:rPr>
                <w:rFonts w:ascii="GHEA Grapalat" w:hAnsi="GHEA Grapalat"/>
                <w:b w:val="0"/>
                <w:bCs w:val="0"/>
                <w:color w:val="000000"/>
                <w:sz w:val="20"/>
                <w:szCs w:val="20"/>
              </w:rPr>
              <w:t>Մանածագործական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150.9</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4.3</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12.1</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0.8</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lastRenderedPageBreak/>
              <w:t>Կոշկեղեն, գլխարկներ, հովանոցներ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7.1</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0.2</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86.7</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Իրեր քարից, գիպսից, ցեմենտից</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25.2</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0.7</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69.4</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597.3</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rPr>
            </w:pPr>
          </w:p>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17.0</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174.8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17.7</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342.0</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9.7</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36.9</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4.3</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Cs w:val="0"/>
                <w:sz w:val="20"/>
                <w:szCs w:val="20"/>
              </w:rPr>
            </w:pPr>
            <w:r w:rsidRPr="00CB15FF">
              <w:rPr>
                <w:rFonts w:ascii="GHEA Grapalat" w:hAnsi="GHEA Grapalat"/>
                <w:bCs w:val="0"/>
                <w:color w:val="000000"/>
                <w:sz w:val="20"/>
                <w:szCs w:val="20"/>
              </w:rPr>
              <w:t>Մեքենաներ, սարքավորումներ և մեխանիզմներ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396.0</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b/>
              </w:rPr>
              <w:t>11.3</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964.8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16.8</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Վերգետնյա, օդային և ջրային տրանսպորտի միջոցներ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114.1</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b/>
              </w:rPr>
              <w:t>3.3</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539.4</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4.5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Սարքեր և ապարատներ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57.3</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1.6</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159.1</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1.6</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Տարբեր արդյունաբերական ապրանքներ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26.5</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0.8</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153.2</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0.7</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Արվեստի ստեղծագործություններ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3.2</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261.4</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bl>
    <w:p w:rsidR="007A2AE4" w:rsidRPr="00CB15FF" w:rsidRDefault="007A2AE4" w:rsidP="007A2AE4">
      <w:pPr>
        <w:jc w:val="center"/>
        <w:rPr>
          <w:rFonts w:ascii="GHEA Grapalat" w:hAnsi="GHEA Grapalat"/>
          <w:b/>
          <w:sz w:val="22"/>
          <w:szCs w:val="20"/>
        </w:rPr>
      </w:pPr>
    </w:p>
    <w:p w:rsidR="007A2AE4" w:rsidRPr="00CB15FF" w:rsidRDefault="007A2AE4" w:rsidP="007A2AE4">
      <w:pPr>
        <w:jc w:val="center"/>
        <w:rPr>
          <w:rFonts w:ascii="GHEA Grapalat" w:hAnsi="GHEA Grapalat"/>
          <w:sz w:val="22"/>
          <w:szCs w:val="20"/>
        </w:rPr>
      </w:pPr>
      <w:r w:rsidRPr="00CB15FF">
        <w:rPr>
          <w:rFonts w:ascii="GHEA Grapalat" w:hAnsi="GHEA Grapalat"/>
          <w:b/>
          <w:sz w:val="22"/>
          <w:szCs w:val="20"/>
        </w:rPr>
        <w:t xml:space="preserve">Աղյուսակ 3. </w:t>
      </w:r>
      <w:r w:rsidRPr="00CB15FF">
        <w:rPr>
          <w:rFonts w:ascii="GHEA Grapalat" w:hAnsi="GHEA Grapalat"/>
          <w:sz w:val="22"/>
          <w:szCs w:val="20"/>
        </w:rPr>
        <w:t xml:space="preserve">Ներմուծման ապրանքային կառուցվածքը և նպաստումները 2022 թվականի հունվար-սեպտեմբեր </w:t>
      </w:r>
      <w:r w:rsidRPr="00CB15FF">
        <w:rPr>
          <w:rFonts w:ascii="GHEA Grapalat" w:hAnsi="GHEA Grapalat" w:cs="Arial"/>
          <w:sz w:val="22"/>
          <w:szCs w:val="20"/>
        </w:rPr>
        <w:t xml:space="preserve">ամիսների </w:t>
      </w:r>
      <w:r w:rsidRPr="00CB15FF">
        <w:rPr>
          <w:rFonts w:ascii="GHEA Grapalat" w:hAnsi="GHEA Grapalat"/>
          <w:sz w:val="22"/>
          <w:szCs w:val="20"/>
        </w:rPr>
        <w:t>ներմուծման աճին</w:t>
      </w: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7A2AE4" w:rsidRPr="00CB15FF" w:rsidTr="00AA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bCs w:val="0"/>
                <w:sz w:val="20"/>
                <w:szCs w:val="20"/>
              </w:rPr>
            </w:pPr>
            <w:r w:rsidRPr="00CB15FF">
              <w:rPr>
                <w:rFonts w:ascii="GHEA Grapalat" w:hAnsi="GHEA Grapalat"/>
                <w:sz w:val="20"/>
                <w:szCs w:val="20"/>
              </w:rPr>
              <w:t>ՆԵՐՄՈՒԾՈՒՄ</w:t>
            </w:r>
          </w:p>
          <w:p w:rsidR="007A2AE4" w:rsidRPr="00CB15FF" w:rsidRDefault="007A2AE4" w:rsidP="00AA1BA3">
            <w:pPr>
              <w:rPr>
                <w:rFonts w:ascii="GHEA Grapalat" w:hAnsi="GHEA Grapalat"/>
                <w:sz w:val="20"/>
                <w:szCs w:val="20"/>
              </w:rPr>
            </w:pPr>
          </w:p>
        </w:tc>
        <w:tc>
          <w:tcPr>
            <w:tcW w:w="1134"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bCs w:val="0"/>
                <w:sz w:val="20"/>
                <w:szCs w:val="20"/>
              </w:rPr>
              <w:t xml:space="preserve">Ծավալ </w:t>
            </w:r>
            <w:r w:rsidRPr="00CB15FF">
              <w:rPr>
                <w:rFonts w:ascii="GHEA Grapalat" w:hAnsi="GHEA Grapalat"/>
                <w:sz w:val="20"/>
                <w:szCs w:val="20"/>
              </w:rPr>
              <w:t>(մլն ԱՄՆ դոլար)</w:t>
            </w:r>
          </w:p>
        </w:tc>
        <w:tc>
          <w:tcPr>
            <w:tcW w:w="992"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Կշիռ</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992"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Աճ</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1418"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cs="Sylfaen"/>
                <w:sz w:val="20"/>
                <w:szCs w:val="20"/>
              </w:rPr>
              <w:t>Նպաստում</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տոկոսային կետ</w:t>
            </w:r>
            <w:r w:rsidRPr="00CB15FF">
              <w:rPr>
                <w:rFonts w:ascii="GHEA Grapalat" w:hAnsi="GHEA Grapalat" w:cs="Sylfaen"/>
                <w:bCs w:val="0"/>
                <w:sz w:val="20"/>
                <w:szCs w:val="20"/>
                <w:lang w:val="ru-RU"/>
              </w:rPr>
              <w:t>)</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 xml:space="preserve">ԸՆԴԱՄԵՆԸ </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5797.2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100.0</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61.6</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61.6</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171.6</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3.0</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63.5</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Cs w:val="0"/>
                <w:sz w:val="20"/>
                <w:szCs w:val="20"/>
              </w:rPr>
            </w:pPr>
            <w:r w:rsidRPr="00CB15FF">
              <w:rPr>
                <w:rFonts w:ascii="GHEA Grapalat" w:hAnsi="GHEA Grapalat"/>
                <w:bCs w:val="0"/>
                <w:color w:val="000000"/>
                <w:sz w:val="20"/>
                <w:szCs w:val="20"/>
              </w:rPr>
              <w:t>Բուսական ծագման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289.9</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5.0</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73.1</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3.4</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74.9</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56.1</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0.8</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bCs w:val="0"/>
                <w:sz w:val="20"/>
                <w:szCs w:val="20"/>
              </w:rPr>
            </w:pPr>
            <w:r w:rsidRPr="00CB15FF">
              <w:rPr>
                <w:rFonts w:ascii="GHEA Grapalat" w:hAnsi="GHEA Grapalat"/>
                <w:b w:val="0"/>
                <w:bCs w:val="0"/>
                <w:color w:val="000000"/>
                <w:sz w:val="20"/>
                <w:szCs w:val="20"/>
              </w:rPr>
              <w:t>Պատրաստի սննդի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371.4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26.6</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Հանքահումքային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858.4</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14.8</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32.7</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5.9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Քիմիայի և դրա հետ կապված արդյունաբերության ճյուղերի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427.4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7.4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38.0</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3.3</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227.3</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3.9</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49.1</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20.5</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14.7</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0.1</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Փայտ և փայտյա իրեր</w:t>
            </w:r>
            <w:r w:rsidR="00AA1BA3" w:rsidRPr="00CB15FF">
              <w:rPr>
                <w:rFonts w:ascii="GHEA Grapalat" w:hAnsi="GHEA Grapalat"/>
                <w:b w:val="0"/>
                <w:color w:val="000000"/>
                <w:sz w:val="20"/>
                <w:szCs w:val="20"/>
              </w:rPr>
              <w:t xml:space="preserve"> </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67.5</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1.2</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38.1</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Թուղթ և թղթից</w:t>
            </w:r>
            <w:r w:rsidR="00AA1BA3" w:rsidRPr="00CB15FF">
              <w:rPr>
                <w:rFonts w:ascii="GHEA Grapalat" w:hAnsi="GHEA Grapalat"/>
                <w:b w:val="0"/>
                <w:color w:val="000000"/>
                <w:sz w:val="20"/>
                <w:szCs w:val="20"/>
              </w:rPr>
              <w:t xml:space="preserve"> </w:t>
            </w:r>
            <w:r w:rsidRPr="00CB15FF">
              <w:rPr>
                <w:rFonts w:ascii="GHEA Grapalat" w:hAnsi="GHEA Grapalat"/>
                <w:b w:val="0"/>
                <w:color w:val="000000"/>
                <w:sz w:val="20"/>
                <w:szCs w:val="20"/>
              </w:rPr>
              <w:t>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94.6</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1.6</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52.8</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Մանածագործական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276.1</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4.8</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33.9</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1.9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Կոշկեղեն, գլխարկներ, հովանոցներ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56.1</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1.0</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32.6</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0.4</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Իրեր քարից, գիպսից, ցեմենտից</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110.1</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1.9</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41.9</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419.2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7.2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149.1</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7.0</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440.1</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7.6</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69.5</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5.0</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Մեքենաներ, սարքավորումներ և մեխանիզմներ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1109.1</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19.1</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84.9</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14.2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511.2</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8.8</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166.0</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8.9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Սարքեր և ապարատներ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130.8</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2.3</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47.2</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Տարբեր արդյունաբերական ապրանքներ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131.7</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2.3</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31.9</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Արվեստի ստեղծագործություններ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9.2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3727.5</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0.2</w:t>
            </w:r>
          </w:p>
        </w:tc>
      </w:tr>
    </w:tbl>
    <w:p w:rsidR="007A2AE4" w:rsidRPr="00CB15FF" w:rsidRDefault="007A2AE4" w:rsidP="007A2AE4">
      <w:pPr>
        <w:rPr>
          <w:rFonts w:ascii="GHEA Grapalat" w:hAnsi="GHEA Grapalat"/>
          <w:b/>
          <w:sz w:val="20"/>
          <w:szCs w:val="20"/>
        </w:rPr>
      </w:pPr>
    </w:p>
    <w:p w:rsidR="007A2AE4" w:rsidRPr="00CB15FF" w:rsidRDefault="007A2AE4" w:rsidP="007A2AE4">
      <w:pPr>
        <w:jc w:val="center"/>
        <w:rPr>
          <w:rFonts w:ascii="GHEA Grapalat" w:hAnsi="GHEA Grapalat"/>
          <w:b/>
          <w:szCs w:val="20"/>
        </w:rPr>
      </w:pPr>
      <w:r w:rsidRPr="00CB15FF">
        <w:rPr>
          <w:rFonts w:ascii="GHEA Grapalat" w:hAnsi="GHEA Grapalat"/>
          <w:b/>
          <w:sz w:val="22"/>
          <w:szCs w:val="20"/>
        </w:rPr>
        <w:t>Աղյուսակ 4.</w:t>
      </w:r>
      <w:r w:rsidRPr="00CB15FF">
        <w:rPr>
          <w:rFonts w:ascii="GHEA Grapalat" w:hAnsi="GHEA Grapalat"/>
          <w:b/>
          <w:szCs w:val="20"/>
        </w:rPr>
        <w:t xml:space="preserve"> </w:t>
      </w:r>
      <w:r w:rsidRPr="00CB15FF">
        <w:rPr>
          <w:rFonts w:ascii="GHEA Grapalat" w:hAnsi="GHEA Grapalat"/>
          <w:sz w:val="22"/>
          <w:szCs w:val="20"/>
        </w:rPr>
        <w:t xml:space="preserve">Ներմուծումն ըստ ապրանքների լայն տնտեսական՝ BEC դասակարգչի և նպաստումները հունվար-սեպտեմբեր ամիսներին </w:t>
      </w: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7A2AE4" w:rsidRPr="00CB15FF" w:rsidTr="00AA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sz w:val="20"/>
                <w:szCs w:val="20"/>
                <w:lang w:val="hy-AM"/>
              </w:rPr>
            </w:pPr>
          </w:p>
        </w:tc>
        <w:tc>
          <w:tcPr>
            <w:tcW w:w="1843" w:type="dxa"/>
            <w:gridSpan w:val="2"/>
          </w:tcPr>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 xml:space="preserve">Կշիռ </w:t>
            </w:r>
            <w:r w:rsidRPr="00CB15FF">
              <w:rPr>
                <w:rFonts w:ascii="GHEA Grapalat" w:hAnsi="GHEA Grapalat"/>
                <w:sz w:val="20"/>
                <w:szCs w:val="20"/>
                <w:lang w:val="ru-RU"/>
              </w:rPr>
              <w:t>(</w:t>
            </w:r>
            <w:r w:rsidRPr="00CB15FF">
              <w:rPr>
                <w:rFonts w:ascii="GHEA Grapalat" w:hAnsi="GHEA Grapalat"/>
                <w:sz w:val="20"/>
                <w:szCs w:val="20"/>
              </w:rPr>
              <w:t>տոկոս</w:t>
            </w:r>
            <w:r w:rsidRPr="00CB15FF">
              <w:rPr>
                <w:rFonts w:ascii="GHEA Grapalat" w:hAnsi="GHEA Grapalat"/>
                <w:sz w:val="20"/>
                <w:szCs w:val="20"/>
                <w:lang w:val="ru-RU"/>
              </w:rPr>
              <w:t>)</w:t>
            </w:r>
          </w:p>
        </w:tc>
        <w:tc>
          <w:tcPr>
            <w:tcW w:w="1843" w:type="dxa"/>
            <w:gridSpan w:val="2"/>
          </w:tcPr>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sz w:val="20"/>
                <w:szCs w:val="20"/>
              </w:rPr>
              <w:t>Աճ</w:t>
            </w:r>
            <w:r w:rsidRPr="00CB15FF">
              <w:rPr>
                <w:rFonts w:ascii="GHEA Grapalat" w:hAnsi="GHEA Grapalat"/>
                <w:sz w:val="20"/>
                <w:szCs w:val="20"/>
                <w:lang w:val="ru-RU"/>
              </w:rPr>
              <w:t xml:space="preserve"> (</w:t>
            </w:r>
            <w:r w:rsidRPr="00CB15FF">
              <w:rPr>
                <w:rFonts w:ascii="GHEA Grapalat" w:hAnsi="GHEA Grapalat"/>
                <w:sz w:val="20"/>
                <w:szCs w:val="20"/>
              </w:rPr>
              <w:t>տոկոս</w:t>
            </w:r>
            <w:r w:rsidRPr="00CB15FF">
              <w:rPr>
                <w:rFonts w:ascii="GHEA Grapalat" w:hAnsi="GHEA Grapalat"/>
                <w:sz w:val="20"/>
                <w:szCs w:val="20"/>
                <w:lang w:val="ru-RU"/>
              </w:rPr>
              <w:t>)</w:t>
            </w:r>
          </w:p>
        </w:tc>
        <w:tc>
          <w:tcPr>
            <w:tcW w:w="1984" w:type="dxa"/>
            <w:gridSpan w:val="2"/>
          </w:tcPr>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Նպաստում</w:t>
            </w:r>
          </w:p>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sz w:val="20"/>
                <w:szCs w:val="20"/>
                <w:lang w:val="ru-RU"/>
              </w:rPr>
              <w:t>(</w:t>
            </w:r>
            <w:r w:rsidRPr="00CB15FF">
              <w:rPr>
                <w:rFonts w:ascii="GHEA Grapalat" w:hAnsi="GHEA Grapalat"/>
                <w:sz w:val="20"/>
                <w:szCs w:val="20"/>
              </w:rPr>
              <w:t>տոկոսային կետ</w:t>
            </w:r>
            <w:r w:rsidRPr="00CB15FF">
              <w:rPr>
                <w:rFonts w:ascii="GHEA Grapalat" w:hAnsi="GHEA Grapalat"/>
                <w:sz w:val="20"/>
                <w:szCs w:val="20"/>
                <w:lang w:val="ru-RU"/>
              </w:rPr>
              <w:t>)</w:t>
            </w:r>
          </w:p>
        </w:tc>
      </w:tr>
      <w:tr w:rsidR="007A2AE4" w:rsidRPr="00CB15FF" w:rsidTr="007A2AE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sz w:val="20"/>
                <w:szCs w:val="20"/>
              </w:rPr>
            </w:pPr>
          </w:p>
        </w:tc>
        <w:tc>
          <w:tcPr>
            <w:tcW w:w="993"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2021</w:t>
            </w:r>
          </w:p>
        </w:tc>
        <w:tc>
          <w:tcPr>
            <w:tcW w:w="850"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2022</w:t>
            </w:r>
          </w:p>
        </w:tc>
        <w:tc>
          <w:tcPr>
            <w:tcW w:w="992"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2021</w:t>
            </w:r>
          </w:p>
        </w:tc>
        <w:tc>
          <w:tcPr>
            <w:tcW w:w="851"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2022</w:t>
            </w:r>
          </w:p>
        </w:tc>
        <w:tc>
          <w:tcPr>
            <w:tcW w:w="992"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2021</w:t>
            </w:r>
          </w:p>
        </w:tc>
        <w:tc>
          <w:tcPr>
            <w:tcW w:w="992"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2022</w:t>
            </w:r>
          </w:p>
        </w:tc>
      </w:tr>
      <w:tr w:rsidR="007A2AE4" w:rsidRPr="00CB15FF" w:rsidTr="007A2AE4">
        <w:trPr>
          <w:trHeight w:val="296"/>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sz w:val="20"/>
                <w:szCs w:val="20"/>
              </w:rPr>
            </w:pPr>
            <w:r w:rsidRPr="00CB15FF">
              <w:rPr>
                <w:rFonts w:ascii="GHEA Grapalat" w:hAnsi="GHEA Grapalat"/>
                <w:sz w:val="20"/>
                <w:szCs w:val="20"/>
              </w:rPr>
              <w:t>Ընդամենը</w:t>
            </w:r>
          </w:p>
        </w:tc>
        <w:tc>
          <w:tcPr>
            <w:tcW w:w="993" w:type="dxa"/>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100</w:t>
            </w:r>
          </w:p>
        </w:tc>
        <w:tc>
          <w:tcPr>
            <w:tcW w:w="850" w:type="dxa"/>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100</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10.1</w:t>
            </w:r>
          </w:p>
        </w:tc>
        <w:tc>
          <w:tcPr>
            <w:tcW w:w="851"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61.6</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bCs/>
                <w:sz w:val="20"/>
                <w:szCs w:val="20"/>
              </w:rPr>
              <w:t>10.1</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bCs/>
                <w:sz w:val="20"/>
                <w:szCs w:val="20"/>
              </w:rPr>
              <w:t>61.6</w:t>
            </w:r>
          </w:p>
        </w:tc>
      </w:tr>
      <w:tr w:rsidR="007A2AE4" w:rsidRPr="00CB15FF" w:rsidTr="007A2A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t>Վերջնական սպառման ապրանքներ</w:t>
            </w:r>
          </w:p>
        </w:tc>
        <w:tc>
          <w:tcPr>
            <w:tcW w:w="993"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26.9</w:t>
            </w:r>
          </w:p>
        </w:tc>
        <w:tc>
          <w:tcPr>
            <w:tcW w:w="850"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23.4</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10.9</w:t>
            </w:r>
          </w:p>
        </w:tc>
        <w:tc>
          <w:tcPr>
            <w:tcW w:w="851"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40.4</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2.9</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10.9</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t>Միջանկյալ սպառման ապրանքներ</w:t>
            </w:r>
          </w:p>
        </w:tc>
        <w:tc>
          <w:tcPr>
            <w:tcW w:w="993"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55.3</w:t>
            </w:r>
          </w:p>
        </w:tc>
        <w:tc>
          <w:tcPr>
            <w:tcW w:w="850"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52.7</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12.4</w:t>
            </w:r>
          </w:p>
        </w:tc>
        <w:tc>
          <w:tcPr>
            <w:tcW w:w="851"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54.0</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6.7</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29.9</w:t>
            </w:r>
          </w:p>
        </w:tc>
      </w:tr>
      <w:tr w:rsidR="007A2AE4" w:rsidRPr="00CB15FF" w:rsidTr="007A2AE4">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t>Կապիտալ ապրանքներ</w:t>
            </w:r>
          </w:p>
        </w:tc>
        <w:tc>
          <w:tcPr>
            <w:tcW w:w="993"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15.6</w:t>
            </w:r>
          </w:p>
        </w:tc>
        <w:tc>
          <w:tcPr>
            <w:tcW w:w="850"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18.0</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-2.4</w:t>
            </w:r>
          </w:p>
        </w:tc>
        <w:tc>
          <w:tcPr>
            <w:tcW w:w="851"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86.7</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-0.4</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13.5</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lastRenderedPageBreak/>
              <w:t>Ավտոմեքենա մարդատար</w:t>
            </w:r>
          </w:p>
        </w:tc>
        <w:tc>
          <w:tcPr>
            <w:tcW w:w="993"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2.2</w:t>
            </w:r>
          </w:p>
        </w:tc>
        <w:tc>
          <w:tcPr>
            <w:tcW w:w="850"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5.9</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61.5</w:t>
            </w:r>
          </w:p>
        </w:tc>
        <w:tc>
          <w:tcPr>
            <w:tcW w:w="851"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337.9</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7.4</w:t>
            </w:r>
          </w:p>
        </w:tc>
      </w:tr>
      <w:bookmarkEnd w:id="4"/>
      <w:bookmarkEnd w:id="5"/>
      <w:bookmarkEnd w:id="6"/>
    </w:tbl>
    <w:p w:rsidR="00E604D5" w:rsidRPr="00CB15FF" w:rsidRDefault="00E604D5" w:rsidP="000F6B0F">
      <w:pPr>
        <w:pStyle w:val="Heading1"/>
        <w:overflowPunct/>
        <w:autoSpaceDE/>
        <w:autoSpaceDN/>
        <w:adjustRightInd/>
        <w:ind w:firstLine="0"/>
        <w:jc w:val="left"/>
        <w:textAlignment w:val="auto"/>
        <w:rPr>
          <w:rFonts w:ascii="GHEA Grapalat" w:hAnsi="GHEA Grapalat" w:cs="GHEA Grapalat"/>
          <w:sz w:val="22"/>
          <w:szCs w:val="22"/>
        </w:rPr>
      </w:pPr>
    </w:p>
    <w:sectPr w:rsidR="00E604D5" w:rsidRPr="00CB15FF" w:rsidSect="00202020">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F57" w:rsidRDefault="00FC6F57">
      <w:r>
        <w:separator/>
      </w:r>
    </w:p>
  </w:endnote>
  <w:endnote w:type="continuationSeparator" w:id="0">
    <w:p w:rsidR="00FC6F57" w:rsidRDefault="00FC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5FF" w:rsidRPr="00E37514" w:rsidRDefault="00CB15FF">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19482C">
      <w:rPr>
        <w:rFonts w:ascii="GHEA Grapalat" w:hAnsi="GHEA Grapalat"/>
        <w:noProof/>
        <w:sz w:val="22"/>
        <w:szCs w:val="22"/>
      </w:rPr>
      <w:t>23</w:t>
    </w:r>
    <w:r w:rsidRPr="00E37514">
      <w:rPr>
        <w:rFonts w:ascii="GHEA Grapalat" w:hAnsi="GHEA Grapalat"/>
        <w:noProof/>
        <w:sz w:val="22"/>
        <w:szCs w:val="22"/>
      </w:rPr>
      <w:fldChar w:fldCharType="end"/>
    </w:r>
  </w:p>
  <w:p w:rsidR="00CB15FF" w:rsidRDefault="00CB15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F57" w:rsidRDefault="00FC6F57">
      <w:r>
        <w:separator/>
      </w:r>
    </w:p>
  </w:footnote>
  <w:footnote w:type="continuationSeparator" w:id="0">
    <w:p w:rsidR="00FC6F57" w:rsidRDefault="00FC6F57">
      <w:r>
        <w:continuationSeparator/>
      </w:r>
    </w:p>
  </w:footnote>
  <w:footnote w:id="1">
    <w:p w:rsidR="00CB15FF" w:rsidRPr="00CD4D89" w:rsidRDefault="00CB15FF" w:rsidP="0044083A">
      <w:pPr>
        <w:pStyle w:val="FootnoteText"/>
        <w:rPr>
          <w:rFonts w:ascii="GHEA Grapalat" w:hAnsi="GHEA Grapalat"/>
          <w:sz w:val="18"/>
          <w:szCs w:val="18"/>
        </w:rPr>
      </w:pPr>
      <w:r w:rsidRPr="0044083A">
        <w:rPr>
          <w:rFonts w:ascii="GHEA Grapalat" w:hAnsi="GHEA Grapalat"/>
          <w:sz w:val="18"/>
          <w:szCs w:val="18"/>
          <w:vertAlign w:val="superscript"/>
        </w:rPr>
        <w:footnoteRef/>
      </w:r>
      <w:r w:rsidRPr="00F24C62">
        <w:rPr>
          <w:rFonts w:ascii="GHEA Grapalat" w:hAnsi="GHEA Grapalat"/>
          <w:sz w:val="18"/>
          <w:szCs w:val="18"/>
        </w:rPr>
        <w:t xml:space="preserve"> Աղբյուրը՝ Եվրոստատի՝ </w:t>
      </w:r>
      <w:hyperlink r:id="rId1" w:history="1">
        <w:r w:rsidRPr="00CD4D89">
          <w:rPr>
            <w:rFonts w:ascii="GHEA Grapalat" w:hAnsi="GHEA Grapalat"/>
            <w:sz w:val="18"/>
            <w:szCs w:val="18"/>
          </w:rPr>
          <w:t xml:space="preserve">հոկտեմբերի </w:t>
        </w:r>
        <w:r w:rsidRPr="00F24C62">
          <w:rPr>
            <w:rFonts w:ascii="GHEA Grapalat" w:hAnsi="GHEA Grapalat"/>
            <w:sz w:val="18"/>
            <w:szCs w:val="18"/>
          </w:rPr>
          <w:t>31</w:t>
        </w:r>
        <w:r w:rsidRPr="00CD4D89">
          <w:rPr>
            <w:rFonts w:ascii="GHEA Grapalat" w:hAnsi="GHEA Grapalat"/>
            <w:sz w:val="18"/>
            <w:szCs w:val="18"/>
          </w:rPr>
          <w:t>-ի նախնական գնահատում</w:t>
        </w:r>
      </w:hyperlink>
      <w:r>
        <w:rPr>
          <w:rFonts w:ascii="GHEA Grapalat" w:hAnsi="GHEA Grapalat"/>
          <w:sz w:val="18"/>
          <w:szCs w:val="18"/>
        </w:rPr>
        <w:t>:</w:t>
      </w:r>
    </w:p>
  </w:footnote>
  <w:footnote w:id="2">
    <w:p w:rsidR="00CB15FF" w:rsidRPr="00CD4D89" w:rsidRDefault="00CB15FF" w:rsidP="0044083A">
      <w:pPr>
        <w:pStyle w:val="FootnoteText"/>
        <w:rPr>
          <w:rFonts w:ascii="GHEA Grapalat" w:hAnsi="GHEA Grapalat"/>
          <w:sz w:val="18"/>
          <w:szCs w:val="18"/>
        </w:rPr>
      </w:pPr>
      <w:r w:rsidRPr="00F24C62">
        <w:rPr>
          <w:rStyle w:val="FootnoteReference"/>
          <w:rFonts w:ascii="GHEA Grapalat" w:hAnsi="GHEA Grapalat"/>
          <w:sz w:val="18"/>
          <w:szCs w:val="18"/>
        </w:rPr>
        <w:footnoteRef/>
      </w:r>
      <w:r w:rsidRPr="00F24C62">
        <w:rPr>
          <w:rFonts w:ascii="GHEA Grapalat" w:hAnsi="GHEA Grapalat"/>
          <w:sz w:val="18"/>
          <w:szCs w:val="18"/>
        </w:rPr>
        <w:t xml:space="preserve"> Աղբյուրը՝ Չինաստանի վիճակագրության ազգային </w:t>
      </w:r>
      <w:hyperlink r:id="rId2" w:history="1">
        <w:r w:rsidRPr="00F24C62">
          <w:rPr>
            <w:rStyle w:val="Hyperlink"/>
            <w:rFonts w:ascii="GHEA Grapalat" w:hAnsi="GHEA Grapalat"/>
            <w:sz w:val="18"/>
            <w:szCs w:val="18"/>
          </w:rPr>
          <w:t>բյուրո</w:t>
        </w:r>
      </w:hyperlink>
      <w:r>
        <w:rPr>
          <w:rStyle w:val="Hyperlink"/>
          <w:rFonts w:ascii="GHEA Grapalat" w:hAnsi="GHEA Grapalat"/>
          <w:sz w:val="18"/>
          <w:szCs w:val="18"/>
        </w:rPr>
        <w:t>:</w:t>
      </w:r>
    </w:p>
  </w:footnote>
  <w:footnote w:id="3">
    <w:p w:rsidR="00CB15FF" w:rsidRPr="00320C6B" w:rsidRDefault="00CB15FF" w:rsidP="0044083A">
      <w:pPr>
        <w:pStyle w:val="FootnoteText"/>
        <w:rPr>
          <w:rFonts w:ascii="GHEA Grapalat" w:hAnsi="GHEA Grapalat"/>
          <w:sz w:val="18"/>
          <w:szCs w:val="18"/>
        </w:rPr>
      </w:pPr>
      <w:r w:rsidRPr="00F24C62">
        <w:rPr>
          <w:rStyle w:val="FootnoteReference"/>
          <w:rFonts w:ascii="GHEA Grapalat" w:hAnsi="GHEA Grapalat"/>
          <w:sz w:val="18"/>
          <w:szCs w:val="18"/>
        </w:rPr>
        <w:footnoteRef/>
      </w:r>
      <w:r w:rsidRPr="00F24C62">
        <w:rPr>
          <w:rFonts w:ascii="GHEA Grapalat" w:hAnsi="GHEA Grapalat"/>
          <w:sz w:val="18"/>
          <w:szCs w:val="18"/>
        </w:rPr>
        <w:t xml:space="preserve"> Աղբյուրը՝ ՌԴ տնտեսական զարգացման նախարարության </w:t>
      </w:r>
      <w:hyperlink r:id="rId3" w:history="1">
        <w:r w:rsidRPr="00F24C62">
          <w:rPr>
            <w:rFonts w:ascii="GHEA Grapalat" w:hAnsi="GHEA Grapalat"/>
            <w:sz w:val="18"/>
            <w:szCs w:val="18"/>
          </w:rPr>
          <w:t>գնահատմամբ</w:t>
        </w:r>
      </w:hyperlink>
      <w:r w:rsidRPr="00F24C62">
        <w:rPr>
          <w:rFonts w:ascii="GHEA Grapalat" w:hAnsi="GHEA Grapalat"/>
          <w:sz w:val="18"/>
          <w:szCs w:val="18"/>
        </w:rPr>
        <w:t xml:space="preserve"> (https://economy.gov.ru/material/file/bffc6cc5eadc71d91c685e2fe5908112/29102021.pdf):</w:t>
      </w:r>
    </w:p>
  </w:footnote>
  <w:footnote w:id="4">
    <w:p w:rsidR="00CB15FF" w:rsidRPr="00877AB1" w:rsidRDefault="00CB15FF"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Pr>
          <w:rFonts w:ascii="GHEA Grapalat" w:hAnsi="GHEA Grapalat"/>
          <w:sz w:val="18"/>
          <w:szCs w:val="18"/>
        </w:rPr>
        <w:t xml:space="preserve"> </w:t>
      </w:r>
      <w:r w:rsidRPr="00F24C62">
        <w:rPr>
          <w:rFonts w:ascii="GHEA Grapalat" w:hAnsi="GHEA Grapalat"/>
          <w:sz w:val="18"/>
          <w:szCs w:val="18"/>
        </w:rPr>
        <w:t xml:space="preserve">Աղբյուրը՝ Համաշխարհային բանկ ( </w:t>
      </w:r>
      <w:hyperlink r:id="rId4" w:history="1">
        <w:r w:rsidRPr="00F24C62">
          <w:rPr>
            <w:rStyle w:val="Hyperlink"/>
            <w:rFonts w:ascii="GHEA Grapalat" w:hAnsi="GHEA Grapalat"/>
            <w:sz w:val="18"/>
            <w:szCs w:val="18"/>
          </w:rPr>
          <w:t>https://www.worldbank.org/en/research/commodity-markets</w:t>
        </w:r>
      </w:hyperlink>
      <w:r w:rsidRPr="00F24C62">
        <w:rPr>
          <w:rFonts w:ascii="GHEA Grapalat" w:hAnsi="GHEA Grapalat"/>
          <w:sz w:val="18"/>
          <w:szCs w:val="18"/>
        </w:rPr>
        <w:t>):</w:t>
      </w:r>
      <w:r w:rsidRPr="00877AB1">
        <w:rPr>
          <w:rFonts w:ascii="GHEA Grapalat" w:hAnsi="GHEA Grapalat"/>
          <w:sz w:val="18"/>
          <w:szCs w:val="18"/>
        </w:rPr>
        <w:t xml:space="preserve"> </w:t>
      </w:r>
    </w:p>
  </w:footnote>
  <w:footnote w:id="5">
    <w:p w:rsidR="00CB15FF" w:rsidRPr="00181B1E" w:rsidRDefault="00CB15FF" w:rsidP="0044083A">
      <w:pPr>
        <w:pStyle w:val="FootnoteText"/>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Աղբյուրը՝ ՄԱԿ – ի պարենի և գյուղատնտեսության կազմակերպություն </w:t>
      </w:r>
      <w:hyperlink r:id="rId5" w:history="1">
        <w:r w:rsidRPr="00181B1E">
          <w:rPr>
            <w:rStyle w:val="Hyperlink"/>
            <w:rFonts w:ascii="GHEA Grapalat" w:hAnsi="GHEA Grapalat"/>
            <w:sz w:val="18"/>
            <w:szCs w:val="18"/>
          </w:rPr>
          <w:t>https://www.fao.org/worldfoodsituation/foodpricesindex/en/</w:t>
        </w:r>
      </w:hyperlink>
    </w:p>
  </w:footnote>
  <w:footnote w:id="6">
    <w:p w:rsidR="00CB15FF" w:rsidRPr="00181B1E" w:rsidRDefault="00CB15FF" w:rsidP="00082E1D">
      <w:pPr>
        <w:pStyle w:val="FootnoteText"/>
        <w:jc w:val="both"/>
        <w:rPr>
          <w:rFonts w:ascii="GHEA Grapalat" w:hAnsi="GHEA Grapalat"/>
          <w:sz w:val="18"/>
          <w:szCs w:val="18"/>
        </w:rPr>
      </w:pPr>
      <w:r w:rsidRPr="00181B1E">
        <w:rPr>
          <w:rFonts w:ascii="GHEA Grapalat" w:hAnsi="GHEA Grapalat"/>
          <w:sz w:val="18"/>
          <w:szCs w:val="18"/>
          <w:vertAlign w:val="superscript"/>
        </w:rPr>
        <w:footnoteRef/>
      </w:r>
      <w:r w:rsidRPr="00181B1E">
        <w:rPr>
          <w:rFonts w:ascii="GHEA Grapalat" w:hAnsi="GHEA Grapalat"/>
          <w:sz w:val="18"/>
          <w:szCs w:val="18"/>
        </w:rPr>
        <w:t xml:space="preserve"> Կորոնավիրուսի համավարակի տարածումը շարունակվում է նաև 2022 թվականին: Հիվանդության հաստատված դեպքերի ընդհանուր թիվը նոյեմբերի 6-ի դրությամբ կազմել է 445,397 մարդ։ 2022 նոյեմբերի 6-ի դրությամբ կատարվել է 2,268,693 պատվաս</w:t>
      </w:r>
      <w:r>
        <w:rPr>
          <w:rFonts w:ascii="GHEA Grapalat" w:hAnsi="GHEA Grapalat"/>
          <w:sz w:val="18"/>
          <w:szCs w:val="18"/>
        </w:rPr>
        <w:t>տում, որից</w:t>
      </w:r>
      <w:r w:rsidRPr="00181B1E">
        <w:rPr>
          <w:rFonts w:ascii="GHEA Grapalat" w:hAnsi="GHEA Grapalat"/>
          <w:sz w:val="18"/>
          <w:szCs w:val="18"/>
        </w:rPr>
        <w:t xml:space="preserve"> առաջին դեղաչափ` 1,152,875 (ՀՀ մշտական բնակչության 38.9%-ը), ամբողջական պատվաստված`</w:t>
      </w:r>
      <w:r>
        <w:rPr>
          <w:rFonts w:ascii="GHEA Grapalat" w:hAnsi="GHEA Grapalat"/>
          <w:sz w:val="18"/>
          <w:szCs w:val="18"/>
        </w:rPr>
        <w:t xml:space="preserve"> </w:t>
      </w:r>
      <w:r w:rsidRPr="00181B1E">
        <w:rPr>
          <w:rFonts w:ascii="GHEA Grapalat" w:hAnsi="GHEA Grapalat"/>
          <w:sz w:val="18"/>
          <w:szCs w:val="18"/>
        </w:rPr>
        <w:t xml:space="preserve">1,028,500 (ՀՀ մշտական բնակչության 34.7%-ը), բուստեր՝ 81,498 (ՀՀ մշտական բնակչության 2.8%-ը): Հաշվարկներում կիրառվել է 2021թ. ՀՀ մշտական բնակչության միջին թիվը: </w:t>
      </w:r>
    </w:p>
  </w:footnote>
  <w:footnote w:id="7">
    <w:p w:rsidR="00CB15FF" w:rsidRPr="00181B1E" w:rsidRDefault="00CB15FF" w:rsidP="00EE5ED2">
      <w:pPr>
        <w:pStyle w:val="FootnoteText"/>
        <w:jc w:val="both"/>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Ճյուղերի մանրամասն ցուցանիշները ներկայացված են Հավելվածում:</w:t>
      </w:r>
    </w:p>
  </w:footnote>
  <w:footnote w:id="8">
    <w:p w:rsidR="00CB15FF" w:rsidRPr="00181B1E" w:rsidRDefault="00CB15FF" w:rsidP="00FC3234">
      <w:pPr>
        <w:pStyle w:val="FootnoteText"/>
        <w:jc w:val="both"/>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9">
    <w:p w:rsidR="00CB15FF" w:rsidRPr="00EE5ED2" w:rsidRDefault="00CB15FF"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0">
    <w:p w:rsidR="00CB15FF" w:rsidRPr="003A11F5" w:rsidRDefault="00CB15FF" w:rsidP="003A11F5">
      <w:pPr>
        <w:pStyle w:val="FootnoteText"/>
        <w:jc w:val="both"/>
        <w:rPr>
          <w:rFonts w:ascii="GHEA Grapalat" w:eastAsia="GHEA Grapalat" w:hAnsi="GHEA Grapalat" w:cs="GHEA Grapalat"/>
          <w:color w:val="000000"/>
          <w:sz w:val="18"/>
          <w:szCs w:val="18"/>
        </w:rPr>
      </w:pPr>
      <w:r w:rsidRPr="003A11F5">
        <w:rPr>
          <w:rFonts w:ascii="GHEA Grapalat" w:eastAsia="GHEA Grapalat" w:hAnsi="GHEA Grapalat" w:cs="GHEA Grapalat"/>
          <w:color w:val="000000"/>
          <w:sz w:val="18"/>
          <w:szCs w:val="18"/>
          <w:vertAlign w:val="superscript"/>
        </w:rPr>
        <w:footnoteRef/>
      </w:r>
      <w:r w:rsidRPr="003A11F5">
        <w:rPr>
          <w:rFonts w:ascii="GHEA Grapalat" w:eastAsia="GHEA Grapalat" w:hAnsi="GHEA Grapalat" w:cs="GHEA Grapalat"/>
          <w:color w:val="000000"/>
          <w:sz w:val="18"/>
          <w:szCs w:val="18"/>
        </w:rPr>
        <w:t xml:space="preserve"> 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Pr>
          <w:rFonts w:ascii="GHEA Grapalat" w:eastAsia="GHEA Grapalat" w:hAnsi="GHEA Grapalat" w:cs="GHEA Grapalat"/>
          <w:color w:val="000000"/>
          <w:sz w:val="18"/>
          <w:szCs w:val="18"/>
        </w:rPr>
        <w:t>վ</w:t>
      </w:r>
      <w:r w:rsidRPr="003A11F5">
        <w:rPr>
          <w:rFonts w:ascii="GHEA Grapalat" w:eastAsia="GHEA Grapalat" w:hAnsi="GHEA Grapalat" w:cs="GHEA Grapalat"/>
          <w:color w:val="000000"/>
          <w:sz w:val="18"/>
          <w:szCs w:val="18"/>
        </w:rPr>
        <w:t>ում են նաև վիճակագրական շեղումները:</w:t>
      </w:r>
    </w:p>
  </w:footnote>
  <w:footnote w:id="11">
    <w:p w:rsidR="00CB15FF" w:rsidRPr="003A11F5" w:rsidRDefault="00CB15FF" w:rsidP="003A11F5">
      <w:pPr>
        <w:pStyle w:val="FootnoteText"/>
        <w:jc w:val="both"/>
        <w:rPr>
          <w:rFonts w:ascii="GHEA Grapalat" w:eastAsia="GHEA Grapalat" w:hAnsi="GHEA Grapalat" w:cs="GHEA Grapalat"/>
          <w:color w:val="000000"/>
          <w:sz w:val="18"/>
          <w:szCs w:val="18"/>
        </w:rPr>
      </w:pPr>
      <w:r w:rsidRPr="003A11F5">
        <w:rPr>
          <w:rFonts w:ascii="GHEA Grapalat" w:eastAsia="GHEA Grapalat" w:hAnsi="GHEA Grapalat" w:cs="GHEA Grapalat"/>
          <w:color w:val="000000"/>
          <w:sz w:val="18"/>
          <w:szCs w:val="18"/>
          <w:vertAlign w:val="superscript"/>
        </w:rPr>
        <w:footnoteRef/>
      </w:r>
      <w:r w:rsidRPr="003A11F5">
        <w:rPr>
          <w:rFonts w:ascii="GHEA Grapalat" w:eastAsia="GHEA Grapalat" w:hAnsi="GHEA Grapalat" w:cs="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2">
    <w:p w:rsidR="00CB15FF" w:rsidRPr="00015F18" w:rsidRDefault="00CB15FF" w:rsidP="003A11F5">
      <w:pPr>
        <w:pStyle w:val="FootnoteText"/>
        <w:jc w:val="both"/>
        <w:rPr>
          <w:rFonts w:ascii="GHEA Grapalat" w:eastAsia="GHEA Grapalat" w:hAnsi="GHEA Grapalat" w:cs="GHEA Grapalat"/>
          <w:color w:val="000000"/>
          <w:sz w:val="18"/>
          <w:szCs w:val="18"/>
        </w:rPr>
      </w:pPr>
      <w:r w:rsidRPr="00015F18">
        <w:rPr>
          <w:rFonts w:ascii="GHEA Grapalat" w:eastAsia="GHEA Grapalat" w:hAnsi="GHEA Grapalat" w:cs="GHEA Grapalat"/>
          <w:color w:val="000000"/>
          <w:sz w:val="18"/>
          <w:szCs w:val="18"/>
          <w:vertAlign w:val="superscript"/>
        </w:rPr>
        <w:footnoteRef/>
      </w:r>
      <w:r w:rsidRPr="00015F18">
        <w:rPr>
          <w:rFonts w:ascii="GHEA Grapalat" w:eastAsia="GHEA Grapalat" w:hAnsi="GHEA Grapalat" w:cs="GHEA Grapalat"/>
          <w:color w:val="000000"/>
          <w:sz w:val="18"/>
          <w:szCs w:val="18"/>
        </w:rPr>
        <w:t xml:space="preserve"> Աղբյուրը՝ ՀՀ ՎԿ և ՀՀ ՖՆ հաշվարկներ։</w:t>
      </w:r>
    </w:p>
  </w:footnote>
  <w:footnote w:id="13">
    <w:p w:rsidR="00CB15FF" w:rsidRPr="00181B1E" w:rsidRDefault="00CB15FF" w:rsidP="003A11F5">
      <w:pPr>
        <w:pStyle w:val="FootnoteText"/>
        <w:jc w:val="both"/>
      </w:pPr>
      <w:r w:rsidRPr="00181B1E">
        <w:rPr>
          <w:rStyle w:val="FootnoteReference"/>
          <w:rFonts w:ascii="GHEA Grapalat" w:hAnsi="GHEA Grapalat"/>
          <w:sz w:val="18"/>
          <w:szCs w:val="18"/>
        </w:rPr>
        <w:footnoteRef/>
      </w:r>
      <w:r w:rsidRPr="00181B1E">
        <w:rPr>
          <w:rFonts w:ascii="GHEA Grapalat" w:hAnsi="GHEA Grapalat"/>
          <w:sz w:val="18"/>
          <w:szCs w:val="18"/>
        </w:rPr>
        <w:t xml:space="preserve"> Աղբյուրը՝ ՀՀ ԿԲ:</w:t>
      </w:r>
    </w:p>
  </w:footnote>
  <w:footnote w:id="14">
    <w:p w:rsidR="00CB15FF" w:rsidRPr="00181B1E" w:rsidRDefault="00CB15FF" w:rsidP="00825352">
      <w:pPr>
        <w:pBdr>
          <w:top w:val="nil"/>
          <w:left w:val="nil"/>
          <w:bottom w:val="nil"/>
          <w:right w:val="nil"/>
          <w:between w:val="nil"/>
        </w:pBdr>
        <w:jc w:val="both"/>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eastAsia="GHEA Grapalat" w:hAnsi="GHEA Grapalat" w:cs="GHEA Grapalat"/>
          <w:sz w:val="18"/>
          <w:szCs w:val="18"/>
        </w:rPr>
        <w:t xml:space="preserve"> </w:t>
      </w:r>
      <w:r w:rsidRPr="00181B1E">
        <w:rPr>
          <w:rFonts w:ascii="GHEA Grapalat" w:hAnsi="GHEA Grapalat"/>
          <w:sz w:val="18"/>
          <w:szCs w:val="18"/>
        </w:rPr>
        <w:t>Ներմուծման տվյալները ներկայացված են</w:t>
      </w:r>
      <w:r>
        <w:rPr>
          <w:rFonts w:ascii="GHEA Grapalat" w:hAnsi="GHEA Grapalat"/>
          <w:sz w:val="18"/>
          <w:szCs w:val="18"/>
        </w:rPr>
        <w:t xml:space="preserve"> ՍԻՖ գներով:</w:t>
      </w:r>
    </w:p>
  </w:footnote>
  <w:footnote w:id="15">
    <w:p w:rsidR="00CB15FF" w:rsidRPr="00181B1E" w:rsidRDefault="00CB15FF" w:rsidP="00EE5ED2">
      <w:pPr>
        <w:pStyle w:val="FootnoteText"/>
        <w:jc w:val="both"/>
        <w:rPr>
          <w:rFonts w:ascii="GHEA Grapalat" w:eastAsia="GHEA Grapalat" w:hAnsi="GHEA Grapalat" w:cs="GHEA Grapalat"/>
          <w:color w:val="000000"/>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w:t>
      </w:r>
      <w:r w:rsidRPr="00181B1E">
        <w:rPr>
          <w:rFonts w:ascii="GHEA Grapalat" w:eastAsia="GHEA Grapalat" w:hAnsi="GHEA Grapalat" w:cs="GHEA Grapalat"/>
          <w:color w:val="000000"/>
          <w:sz w:val="18"/>
          <w:szCs w:val="18"/>
        </w:rPr>
        <w:t>Աղբյուրը` ՀՀ վիճակագրական կոմիտե, «Հայաստանի Հանրապետության սոցիալ-տնտեսական վիճակը» ամսական զեկույցներ:</w:t>
      </w:r>
    </w:p>
  </w:footnote>
  <w:footnote w:id="16">
    <w:p w:rsidR="00CB15FF" w:rsidRPr="004103FE" w:rsidRDefault="00CB15FF" w:rsidP="004103FE">
      <w:pPr>
        <w:pStyle w:val="FootnoteText"/>
        <w:jc w:val="both"/>
        <w:rPr>
          <w:rFonts w:ascii="GHEA Grapalat" w:eastAsia="GHEA Grapalat" w:hAnsi="GHEA Grapalat" w:cs="GHEA Grapalat"/>
          <w:color w:val="000000"/>
          <w:sz w:val="18"/>
          <w:szCs w:val="18"/>
        </w:rPr>
      </w:pPr>
      <w:r w:rsidRPr="004103FE">
        <w:rPr>
          <w:rFonts w:ascii="GHEA Grapalat" w:eastAsia="GHEA Grapalat" w:hAnsi="GHEA Grapalat" w:cs="GHEA Grapalat"/>
          <w:color w:val="000000"/>
          <w:sz w:val="18"/>
          <w:szCs w:val="18"/>
          <w:vertAlign w:val="superscript"/>
        </w:rPr>
        <w:footnoteRef/>
      </w:r>
      <w:r w:rsidRPr="004103FE">
        <w:rPr>
          <w:rFonts w:ascii="GHEA Grapalat" w:eastAsia="GHEA Grapalat" w:hAnsi="GHEA Grapalat" w:cs="GHEA Grapalat"/>
          <w:color w:val="000000"/>
          <w:sz w:val="18"/>
          <w:szCs w:val="18"/>
        </w:rPr>
        <w:t xml:space="preserve"> Աղբյուրը՝ ՀՀ</w:t>
      </w:r>
      <w:r>
        <w:rPr>
          <w:rFonts w:ascii="GHEA Grapalat" w:eastAsia="GHEA Grapalat" w:hAnsi="GHEA Grapalat" w:cs="GHEA Grapalat"/>
          <w:color w:val="000000"/>
          <w:sz w:val="18"/>
          <w:szCs w:val="18"/>
        </w:rPr>
        <w:t xml:space="preserve"> </w:t>
      </w:r>
      <w:r w:rsidRPr="004103FE">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4103FE">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7">
    <w:p w:rsidR="00CB15FF" w:rsidRPr="004103FE" w:rsidRDefault="00CB15FF" w:rsidP="004103FE">
      <w:pPr>
        <w:pStyle w:val="FootnoteText"/>
        <w:jc w:val="both"/>
        <w:rPr>
          <w:rFonts w:ascii="GHEA Grapalat" w:eastAsia="GHEA Grapalat" w:hAnsi="GHEA Grapalat" w:cs="GHEA Grapalat"/>
          <w:color w:val="000000"/>
          <w:sz w:val="18"/>
          <w:szCs w:val="18"/>
        </w:rPr>
      </w:pPr>
      <w:r w:rsidRPr="004103FE">
        <w:rPr>
          <w:rFonts w:ascii="GHEA Grapalat" w:eastAsia="GHEA Grapalat" w:hAnsi="GHEA Grapalat" w:cs="GHEA Grapalat"/>
          <w:color w:val="000000"/>
          <w:sz w:val="18"/>
          <w:szCs w:val="18"/>
          <w:vertAlign w:val="superscript"/>
        </w:rPr>
        <w:footnoteRef/>
      </w:r>
      <w:r w:rsidRPr="004103FE">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8">
    <w:p w:rsidR="00CB15FF" w:rsidRPr="00BE5695" w:rsidRDefault="00CB15FF" w:rsidP="00BE5695">
      <w:pPr>
        <w:pStyle w:val="FootnoteText"/>
        <w:jc w:val="both"/>
      </w:pPr>
      <w:r w:rsidRPr="00BE5695">
        <w:rPr>
          <w:rStyle w:val="FootnoteReference"/>
          <w:rFonts w:ascii="GHEA Grapalat" w:hAnsi="GHEA Grapalat"/>
          <w:sz w:val="18"/>
          <w:szCs w:val="18"/>
        </w:rPr>
        <w:footnoteRef/>
      </w:r>
      <w:r w:rsidRPr="00BE5695">
        <w:rPr>
          <w:rStyle w:val="FootnoteReference"/>
          <w:rFonts w:ascii="GHEA Grapalat" w:hAnsi="GHEA Grapalat"/>
          <w:sz w:val="18"/>
          <w:szCs w:val="18"/>
        </w:rPr>
        <w:t xml:space="preserve"> </w:t>
      </w:r>
      <w:r w:rsidRPr="00BE5695">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BE5695">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BE5695">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9">
    <w:p w:rsidR="00CB15FF" w:rsidRPr="00BE5695" w:rsidRDefault="00CB15FF" w:rsidP="00BE5695">
      <w:pPr>
        <w:pStyle w:val="FootnoteText"/>
        <w:jc w:val="both"/>
        <w:rPr>
          <w:rFonts w:ascii="GHEA Grapalat" w:hAnsi="GHEA Grapalat"/>
          <w:sz w:val="18"/>
          <w:szCs w:val="18"/>
        </w:rPr>
      </w:pPr>
      <w:r w:rsidRPr="00BE5695">
        <w:rPr>
          <w:rStyle w:val="FootnoteReference"/>
          <w:rFonts w:ascii="GHEA Grapalat" w:hAnsi="GHEA Grapalat"/>
          <w:sz w:val="18"/>
          <w:szCs w:val="18"/>
        </w:rPr>
        <w:footnoteRef/>
      </w:r>
      <w:r w:rsidRPr="00BE5695">
        <w:rPr>
          <w:rFonts w:ascii="GHEA Grapalat" w:hAnsi="GHEA Grapalat"/>
          <w:sz w:val="18"/>
          <w:szCs w:val="18"/>
        </w:rPr>
        <w:t xml:space="preserve"> </w:t>
      </w:r>
      <w:r w:rsidRPr="00BE5695">
        <w:rPr>
          <w:rFonts w:ascii="GHEA Grapalat" w:eastAsia="GHEA Grapalat" w:hAnsi="GHEA Grapalat" w:cs="GHEA Grapalat"/>
          <w:color w:val="000000"/>
          <w:sz w:val="18"/>
          <w:szCs w:val="18"/>
        </w:rPr>
        <w:t>Մանրամասն ցուցանիշները ներկայացված են Հավելվածում:</w:t>
      </w:r>
    </w:p>
  </w:footnote>
  <w:footnote w:id="20">
    <w:p w:rsidR="00CB15FF" w:rsidRPr="00BE5695" w:rsidRDefault="00CB15FF" w:rsidP="00BE5695">
      <w:pPr>
        <w:jc w:val="both"/>
        <w:rPr>
          <w:rFonts w:ascii="GHEA Grapalat" w:eastAsia="Merriweather" w:hAnsi="GHEA Grapalat" w:cs="Merriweather"/>
          <w:color w:val="000000"/>
          <w:sz w:val="18"/>
          <w:szCs w:val="18"/>
        </w:rPr>
      </w:pPr>
      <w:r w:rsidRPr="00BE5695">
        <w:rPr>
          <w:rStyle w:val="FootnoteReference"/>
          <w:rFonts w:ascii="GHEA Grapalat" w:hAnsi="GHEA Grapalat"/>
          <w:sz w:val="18"/>
          <w:szCs w:val="18"/>
        </w:rPr>
        <w:footnoteRef/>
      </w:r>
      <w:r w:rsidRPr="00BE5695">
        <w:rPr>
          <w:rFonts w:ascii="GHEA Grapalat" w:hAnsi="GHEA Grapalat"/>
          <w:color w:val="000000"/>
          <w:sz w:val="18"/>
          <w:szCs w:val="18"/>
        </w:rPr>
        <w:t xml:space="preserve"> </w:t>
      </w:r>
      <w:r w:rsidRPr="00BE5695">
        <w:rPr>
          <w:rFonts w:ascii="GHEA Grapalat" w:eastAsia="GHEA Grapalat" w:hAnsi="GHEA Grapalat" w:cs="GHEA Grapalat"/>
          <w:color w:val="000000"/>
          <w:sz w:val="18"/>
          <w:szCs w:val="18"/>
        </w:rPr>
        <w:t>Ապրանքների լայն տնտեսական դասակարգմամբ (BEC) պաշտոնական տվյալները հրապարակվում են տարեկան կրտվածքով և կհրապարակվեն հաջորդ տարվա՝ 2023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1">
    <w:p w:rsidR="00CB15FF" w:rsidRPr="00BE5695" w:rsidRDefault="00CB15FF" w:rsidP="00BE5695">
      <w:pPr>
        <w:pStyle w:val="FootnoteText"/>
        <w:jc w:val="both"/>
        <w:rPr>
          <w:rFonts w:ascii="GHEA Grapalat" w:hAnsi="GHEA Grapalat"/>
          <w:sz w:val="18"/>
          <w:szCs w:val="18"/>
        </w:rPr>
      </w:pPr>
      <w:r w:rsidRPr="00BE5695">
        <w:rPr>
          <w:rStyle w:val="FootnoteReference"/>
          <w:rFonts w:ascii="GHEA Grapalat" w:hAnsi="GHEA Grapalat"/>
          <w:sz w:val="18"/>
          <w:szCs w:val="18"/>
        </w:rPr>
        <w:footnoteRef/>
      </w:r>
      <w:r w:rsidRPr="00BE5695">
        <w:rPr>
          <w:rFonts w:ascii="GHEA Grapalat" w:hAnsi="GHEA Grapalat"/>
          <w:sz w:val="18"/>
          <w:szCs w:val="18"/>
        </w:rPr>
        <w:t xml:space="preserve"> </w:t>
      </w:r>
      <w:r w:rsidRPr="00BE5695">
        <w:rPr>
          <w:rFonts w:ascii="GHEA Grapalat" w:eastAsia="GHEA Grapalat" w:hAnsi="GHEA Grapalat" w:cs="GHEA Grapalat"/>
          <w:color w:val="000000"/>
          <w:sz w:val="18"/>
          <w:szCs w:val="18"/>
        </w:rPr>
        <w:t>Մանրամասն ցուցանիշները ներկայացված են Հավելվածում:</w:t>
      </w:r>
    </w:p>
  </w:footnote>
  <w:footnote w:id="22">
    <w:p w:rsidR="00CB15FF" w:rsidRPr="00C327A4" w:rsidRDefault="00CB15FF" w:rsidP="00BE5695">
      <w:pPr>
        <w:pBdr>
          <w:top w:val="nil"/>
          <w:left w:val="nil"/>
          <w:bottom w:val="nil"/>
          <w:right w:val="nil"/>
          <w:between w:val="nil"/>
        </w:pBdr>
        <w:jc w:val="both"/>
        <w:rPr>
          <w:rFonts w:ascii="GHEA Grapalat" w:eastAsia="GHEA Grapalat" w:hAnsi="GHEA Grapalat" w:cs="GHEA Grapalat"/>
          <w:color w:val="000000"/>
          <w:sz w:val="18"/>
          <w:szCs w:val="18"/>
        </w:rPr>
      </w:pPr>
      <w:r w:rsidRPr="00C327A4">
        <w:rPr>
          <w:rStyle w:val="FootnoteReference"/>
          <w:rFonts w:ascii="GHEA Grapalat" w:hAnsi="GHEA Grapalat"/>
          <w:sz w:val="18"/>
          <w:szCs w:val="18"/>
        </w:rPr>
        <w:footnoteRef/>
      </w:r>
      <w:r w:rsidRPr="00C327A4">
        <w:rPr>
          <w:rFonts w:ascii="GHEA Grapalat" w:eastAsia="Merriweather" w:hAnsi="GHEA Grapalat" w:cs="Merriweather"/>
          <w:color w:val="000000"/>
          <w:sz w:val="18"/>
          <w:szCs w:val="18"/>
        </w:rPr>
        <w:t xml:space="preserve"> </w:t>
      </w:r>
      <w:r w:rsidRPr="00C327A4">
        <w:rPr>
          <w:rFonts w:ascii="GHEA Grapalat" w:eastAsia="GHEA Grapalat" w:hAnsi="GHEA Grapalat" w:cs="GHEA Grapalat"/>
          <w:color w:val="000000"/>
          <w:sz w:val="18"/>
          <w:szCs w:val="18"/>
        </w:rPr>
        <w:t xml:space="preserve">Ընթացիկ ինն ամիսների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2022 թվականի ինն ամիսների ցուցանիշը նախնական գնահատական է: </w:t>
      </w:r>
    </w:p>
    <w:p w:rsidR="00CB15FF" w:rsidRPr="00C327A4" w:rsidRDefault="00CB15FF" w:rsidP="00BE5695">
      <w:pPr>
        <w:pBdr>
          <w:top w:val="nil"/>
          <w:left w:val="nil"/>
          <w:bottom w:val="nil"/>
          <w:right w:val="nil"/>
          <w:between w:val="nil"/>
        </w:pBdr>
        <w:jc w:val="both"/>
        <w:rPr>
          <w:rFonts w:ascii="GHEA Grapalat" w:eastAsia="Merriweather" w:hAnsi="GHEA Grapalat" w:cs="Merriweather"/>
          <w:color w:val="000000"/>
          <w:sz w:val="18"/>
          <w:szCs w:val="18"/>
        </w:rPr>
      </w:pPr>
      <w:r w:rsidRPr="00C327A4">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C327A4">
        <w:rPr>
          <w:rFonts w:ascii="GHEA Grapalat" w:eastAsia="GHEA Grapalat" w:hAnsi="GHEA Grapalat" w:cs="GHEA Grapalat"/>
          <w:color w:val="000000"/>
          <w:sz w:val="18"/>
          <w:szCs w:val="18"/>
        </w:rPr>
        <w:t>վիճակագրական կո</w:t>
      </w:r>
      <w:r>
        <w:rPr>
          <w:rFonts w:ascii="GHEA Grapalat" w:eastAsia="GHEA Grapalat" w:hAnsi="GHEA Grapalat" w:cs="GHEA Grapalat"/>
          <w:color w:val="000000"/>
          <w:sz w:val="18"/>
          <w:szCs w:val="18"/>
        </w:rPr>
        <w:t>մ</w:t>
      </w:r>
      <w:r w:rsidRPr="00C327A4">
        <w:rPr>
          <w:rFonts w:ascii="GHEA Grapalat" w:eastAsia="GHEA Grapalat" w:hAnsi="GHEA Grapalat" w:cs="GHEA Grapalat"/>
          <w:color w:val="000000"/>
          <w:sz w:val="18"/>
          <w:szCs w:val="18"/>
        </w:rPr>
        <w:t>իտե, «ՀՀ վճարային հաշվեկշիռ-6» տվյալների բազա և ՀՀ ՖՆ գնահատականներ:</w:t>
      </w:r>
    </w:p>
  </w:footnote>
  <w:footnote w:id="23">
    <w:p w:rsidR="00CB15FF" w:rsidRDefault="00CB15FF" w:rsidP="00C327A4">
      <w:pPr>
        <w:pStyle w:val="FootnoteText"/>
        <w:jc w:val="both"/>
        <w:rPr>
          <w:rFonts w:ascii="GHEA Grapalat" w:hAnsi="GHEA Grapalat" w:cs="Sylfaen"/>
          <w:sz w:val="18"/>
        </w:rPr>
      </w:pPr>
      <w:r w:rsidRPr="00BE5695">
        <w:rPr>
          <w:rStyle w:val="FootnoteReference"/>
          <w:rFonts w:ascii="GHEA Grapalat" w:hAnsi="GHEA Grapalat"/>
          <w:sz w:val="18"/>
          <w:szCs w:val="18"/>
        </w:rPr>
        <w:footnoteRef/>
      </w:r>
      <w:r w:rsidRPr="00BE5695">
        <w:rPr>
          <w:rFonts w:ascii="GHEA Grapalat" w:hAnsi="GHEA Grapalat"/>
          <w:sz w:val="18"/>
          <w:szCs w:val="18"/>
        </w:rPr>
        <w:t xml:space="preserve"> </w:t>
      </w:r>
      <w:r w:rsidRPr="004633B7">
        <w:rPr>
          <w:rFonts w:ascii="GHEA Grapalat" w:hAnsi="GHEA Grapalat"/>
          <w:sz w:val="18"/>
        </w:rPr>
        <w:t>Աղբյուրը՝ ՀՀ ԿԲ, «</w:t>
      </w:r>
      <w:r w:rsidRPr="004633B7">
        <w:rPr>
          <w:rFonts w:ascii="GHEA Grapalat" w:hAnsi="GHEA Grapalat" w:cs="Sylfaen"/>
          <w:sz w:val="18"/>
        </w:rPr>
        <w:t>ՀՀ բանկերի միջոցով ֆիզիկական անձանց անունով արտերկրից ստացված և ՀՀ-ից ֆիզիկական անձանց կողմից արտերկիր իրականաց</w:t>
      </w:r>
      <w:r>
        <w:rPr>
          <w:rFonts w:ascii="GHEA Grapalat" w:hAnsi="GHEA Grapalat" w:cs="Sylfaen"/>
          <w:sz w:val="18"/>
        </w:rPr>
        <w:t>ված փոխանցումներ», զուտ ներհոսք</w:t>
      </w:r>
    </w:p>
    <w:p w:rsidR="00CB15FF" w:rsidRPr="00BE5695" w:rsidRDefault="00CB15FF" w:rsidP="00C327A4">
      <w:pPr>
        <w:pStyle w:val="FootnoteText"/>
        <w:jc w:val="both"/>
        <w:rPr>
          <w:rFonts w:ascii="GHEA Grapalat" w:hAnsi="GHEA Grapalat"/>
          <w:sz w:val="18"/>
          <w:szCs w:val="18"/>
        </w:rPr>
      </w:pPr>
      <w:r w:rsidRPr="004633B7">
        <w:rPr>
          <w:rFonts w:ascii="GHEA Grapalat" w:hAnsi="GHEA Grapalat" w:cs="Sylfaen"/>
          <w:sz w:val="18"/>
        </w:rPr>
        <w:t>(https://www.cba.am/am/SitePages/statexternalsector.aspx)։</w:t>
      </w:r>
    </w:p>
  </w:footnote>
  <w:footnote w:id="24">
    <w:p w:rsidR="00CB15FF" w:rsidRPr="00C327A4" w:rsidRDefault="00CB15FF" w:rsidP="00C327A4">
      <w:pPr>
        <w:pBdr>
          <w:top w:val="nil"/>
          <w:left w:val="nil"/>
          <w:bottom w:val="nil"/>
          <w:right w:val="nil"/>
          <w:between w:val="nil"/>
        </w:pBdr>
        <w:jc w:val="both"/>
        <w:rPr>
          <w:rFonts w:ascii="GHEA Grapalat" w:eastAsia="Merriweather" w:hAnsi="GHEA Grapalat" w:cs="Merriweather"/>
          <w:color w:val="000000"/>
          <w:sz w:val="18"/>
          <w:szCs w:val="18"/>
        </w:rPr>
      </w:pPr>
      <w:r w:rsidRPr="00C327A4">
        <w:rPr>
          <w:rStyle w:val="FootnoteReference"/>
          <w:rFonts w:ascii="GHEA Grapalat" w:hAnsi="GHEA Grapalat"/>
          <w:sz w:val="18"/>
          <w:szCs w:val="18"/>
        </w:rPr>
        <w:footnoteRef/>
      </w:r>
      <w:r w:rsidRPr="00C327A4">
        <w:rPr>
          <w:rFonts w:ascii="GHEA Grapalat" w:eastAsia="Merriweather" w:hAnsi="GHEA Grapalat" w:cs="Merriweather"/>
          <w:color w:val="000000"/>
          <w:sz w:val="18"/>
          <w:szCs w:val="18"/>
        </w:rPr>
        <w:t xml:space="preserve"> </w:t>
      </w:r>
      <w:r w:rsidRPr="00C327A4">
        <w:rPr>
          <w:rFonts w:ascii="GHEA Grapalat" w:eastAsia="GHEA Grapalat" w:hAnsi="GHEA Grapalat" w:cs="GHEA Grapalat"/>
          <w:color w:val="000000"/>
          <w:sz w:val="18"/>
          <w:szCs w:val="18"/>
        </w:rPr>
        <w:t>Աղբյուրը՝ ՀՀ ԿԲ։</w:t>
      </w:r>
    </w:p>
  </w:footnote>
  <w:footnote w:id="25">
    <w:p w:rsidR="00CB15FF" w:rsidRPr="00583AC3" w:rsidRDefault="00CB15FF" w:rsidP="00785E13">
      <w:pPr>
        <w:pStyle w:val="FootnoteText"/>
        <w:jc w:val="both"/>
        <w:rPr>
          <w:rFonts w:ascii="GHEA Grapalat" w:hAnsi="GHEA Grapalat"/>
          <w:sz w:val="18"/>
          <w:szCs w:val="18"/>
        </w:rPr>
      </w:pPr>
      <w:r w:rsidRPr="00583AC3">
        <w:rPr>
          <w:rStyle w:val="FootnoteReference"/>
          <w:rFonts w:ascii="GHEA Grapalat" w:hAnsi="GHEA Grapalat"/>
          <w:sz w:val="18"/>
          <w:szCs w:val="18"/>
        </w:rPr>
        <w:footnoteRef/>
      </w:r>
      <w:r w:rsidRPr="00583AC3">
        <w:rPr>
          <w:rFonts w:ascii="GHEA Grapalat" w:hAnsi="GHEA Grapalat"/>
          <w:sz w:val="18"/>
          <w:szCs w:val="18"/>
        </w:rPr>
        <w:t xml:space="preserve"> </w:t>
      </w:r>
      <w:r w:rsidRPr="00583AC3">
        <w:rPr>
          <w:rFonts w:ascii="GHEA Grapalat" w:hAnsi="GHEA Grapalat" w:cs="Sylfaen"/>
          <w:sz w:val="18"/>
          <w:szCs w:val="18"/>
        </w:rPr>
        <w:t>Աղբյուր՝ ՀՀ ԿԲ:</w:t>
      </w:r>
    </w:p>
  </w:footnote>
  <w:footnote w:id="26">
    <w:p w:rsidR="00CB15FF" w:rsidRPr="00583AC3" w:rsidRDefault="00CB15FF" w:rsidP="00646A43">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Pr>
          <w:rFonts w:ascii="GHEA Grapalat" w:eastAsia="GHEA Grapalat" w:hAnsi="GHEA Grapalat" w:cs="GHEA Grapalat"/>
          <w:color w:val="000000"/>
          <w:sz w:val="18"/>
          <w:szCs w:val="18"/>
        </w:rPr>
        <w:t xml:space="preserve"> </w:t>
      </w:r>
      <w:r w:rsidRPr="00583AC3">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7">
    <w:p w:rsidR="00CB15FF" w:rsidRPr="007E72A4" w:rsidRDefault="00CB15FF" w:rsidP="00646A43">
      <w:pPr>
        <w:pStyle w:val="FootnoteText"/>
        <w:jc w:val="both"/>
        <w:rPr>
          <w:rFonts w:ascii="GHEA Grapalat" w:hAnsi="GHEA Grapalat"/>
        </w:rPr>
      </w:pPr>
      <w:r w:rsidRPr="007E72A4">
        <w:rPr>
          <w:rStyle w:val="FootnoteReference"/>
          <w:rFonts w:ascii="GHEA Grapalat" w:hAnsi="GHEA Grapalat"/>
          <w:sz w:val="18"/>
          <w:szCs w:val="18"/>
        </w:rPr>
        <w:footnoteRef/>
      </w:r>
      <w:r w:rsidRPr="007E72A4">
        <w:rPr>
          <w:rFonts w:ascii="GHEA Grapalat" w:hAnsi="GHEA Grapalat"/>
          <w:sz w:val="18"/>
          <w:szCs w:val="18"/>
        </w:rPr>
        <w:t xml:space="preserve"> Աղբյուրը՝ ՀՀ ԿԲ և ՀՀ ՖՆ հաշվարկներ: 2022թ</w:t>
      </w:r>
      <w:r w:rsidRPr="007E72A4">
        <w:rPr>
          <w:rFonts w:ascii="Cambria Math" w:hAnsi="Cambria Math" w:cs="Cambria Math"/>
          <w:sz w:val="18"/>
          <w:szCs w:val="18"/>
        </w:rPr>
        <w:t>․</w:t>
      </w:r>
      <w:r w:rsidRPr="007E72A4">
        <w:rPr>
          <w:rFonts w:ascii="GHEA Grapalat" w:hAnsi="GHEA Grapalat"/>
          <w:sz w:val="18"/>
          <w:szCs w:val="18"/>
        </w:rPr>
        <w:t>-</w:t>
      </w:r>
      <w:r w:rsidRPr="007E72A4">
        <w:rPr>
          <w:rFonts w:ascii="GHEA Grapalat" w:hAnsi="GHEA Grapalat" w:cs="GHEA Grapalat"/>
          <w:sz w:val="18"/>
          <w:szCs w:val="18"/>
        </w:rPr>
        <w:t>ի</w:t>
      </w:r>
      <w:r w:rsidRPr="007E72A4">
        <w:rPr>
          <w:rFonts w:ascii="GHEA Grapalat" w:hAnsi="GHEA Grapalat"/>
          <w:sz w:val="18"/>
          <w:szCs w:val="18"/>
        </w:rPr>
        <w:t xml:space="preserve"> համար</w:t>
      </w:r>
      <w:r>
        <w:rPr>
          <w:rFonts w:ascii="GHEA Grapalat" w:hAnsi="GHEA Grapalat"/>
          <w:sz w:val="18"/>
          <w:szCs w:val="18"/>
        </w:rPr>
        <w:t xml:space="preserve"> </w:t>
      </w:r>
      <w:r w:rsidRPr="007E72A4">
        <w:rPr>
          <w:rFonts w:ascii="GHEA Grapalat" w:hAnsi="GHEA Grapalat"/>
          <w:sz w:val="18"/>
          <w:szCs w:val="18"/>
        </w:rPr>
        <w:t>առանց դրամի արժևորման վարկերի և ավանդների աճի տեմպերը ՀՀ ՖՆ գնահատականն են՝ արտարժութային վարկերի և ավանդների հաշվարկի համար հիմք ընդունելով 2022թ</w:t>
      </w:r>
      <w:r w:rsidRPr="007E72A4">
        <w:rPr>
          <w:rFonts w:ascii="Cambria Math" w:hAnsi="Cambria Math" w:cs="Cambria Math"/>
          <w:sz w:val="18"/>
          <w:szCs w:val="18"/>
        </w:rPr>
        <w:t>․</w:t>
      </w:r>
      <w:r w:rsidRPr="007E72A4">
        <w:rPr>
          <w:rFonts w:ascii="GHEA Grapalat" w:hAnsi="GHEA Grapalat"/>
          <w:sz w:val="18"/>
          <w:szCs w:val="18"/>
        </w:rPr>
        <w:t>-</w:t>
      </w:r>
      <w:r w:rsidRPr="007E72A4">
        <w:rPr>
          <w:rFonts w:ascii="GHEA Grapalat" w:hAnsi="GHEA Grapalat" w:cs="GHEA Grapalat"/>
          <w:sz w:val="18"/>
          <w:szCs w:val="18"/>
        </w:rPr>
        <w:t>ի</w:t>
      </w:r>
      <w:r w:rsidRPr="007E72A4">
        <w:rPr>
          <w:rFonts w:ascii="GHEA Grapalat" w:hAnsi="GHEA Grapalat"/>
          <w:sz w:val="18"/>
          <w:szCs w:val="18"/>
        </w:rPr>
        <w:t xml:space="preserve"> </w:t>
      </w:r>
      <w:r w:rsidRPr="007E72A4">
        <w:rPr>
          <w:rFonts w:ascii="GHEA Grapalat" w:hAnsi="GHEA Grapalat" w:cs="GHEA Grapalat"/>
          <w:sz w:val="18"/>
          <w:szCs w:val="18"/>
        </w:rPr>
        <w:t>փետրվարի</w:t>
      </w:r>
      <w:r w:rsidRPr="007E72A4">
        <w:rPr>
          <w:rFonts w:ascii="GHEA Grapalat" w:hAnsi="GHEA Grapalat"/>
          <w:sz w:val="18"/>
          <w:szCs w:val="18"/>
        </w:rPr>
        <w:t xml:space="preserve"> </w:t>
      </w:r>
      <w:r w:rsidRPr="007E72A4">
        <w:rPr>
          <w:rFonts w:ascii="GHEA Grapalat" w:hAnsi="GHEA Grapalat" w:cs="GHEA Grapalat"/>
          <w:sz w:val="18"/>
          <w:szCs w:val="18"/>
        </w:rPr>
        <w:t>վերջի</w:t>
      </w:r>
      <w:r w:rsidRPr="007E72A4">
        <w:rPr>
          <w:rFonts w:ascii="GHEA Grapalat" w:hAnsi="GHEA Grapalat"/>
          <w:sz w:val="18"/>
          <w:szCs w:val="18"/>
        </w:rPr>
        <w:t xml:space="preserve"> </w:t>
      </w:r>
      <w:r w:rsidRPr="007E72A4">
        <w:rPr>
          <w:rFonts w:ascii="GHEA Grapalat" w:hAnsi="GHEA Grapalat" w:cs="GHEA Grapalat"/>
          <w:sz w:val="18"/>
          <w:szCs w:val="18"/>
        </w:rPr>
        <w:t>ԱՄՆ</w:t>
      </w:r>
      <w:r w:rsidRPr="007E72A4">
        <w:rPr>
          <w:rFonts w:ascii="GHEA Grapalat" w:hAnsi="GHEA Grapalat"/>
          <w:sz w:val="18"/>
          <w:szCs w:val="18"/>
        </w:rPr>
        <w:t xml:space="preserve"> </w:t>
      </w:r>
      <w:r w:rsidRPr="007E72A4">
        <w:rPr>
          <w:rFonts w:ascii="GHEA Grapalat" w:hAnsi="GHEA Grapalat" w:cs="GHEA Grapalat"/>
          <w:sz w:val="18"/>
          <w:szCs w:val="18"/>
        </w:rPr>
        <w:t>դոլար</w:t>
      </w:r>
      <w:r w:rsidRPr="007E72A4">
        <w:rPr>
          <w:rFonts w:ascii="GHEA Grapalat" w:hAnsi="GHEA Grapalat"/>
          <w:sz w:val="18"/>
          <w:szCs w:val="18"/>
        </w:rPr>
        <w:t>/</w:t>
      </w:r>
      <w:r w:rsidRPr="007E72A4">
        <w:rPr>
          <w:rFonts w:ascii="GHEA Grapalat" w:hAnsi="GHEA Grapalat" w:cs="GHEA Grapalat"/>
          <w:sz w:val="18"/>
          <w:szCs w:val="18"/>
        </w:rPr>
        <w:t>ՀՀ</w:t>
      </w:r>
      <w:r w:rsidRPr="007E72A4">
        <w:rPr>
          <w:rFonts w:ascii="GHEA Grapalat" w:hAnsi="GHEA Grapalat"/>
          <w:sz w:val="18"/>
          <w:szCs w:val="18"/>
        </w:rPr>
        <w:t xml:space="preserve"> </w:t>
      </w:r>
      <w:r w:rsidRPr="007E72A4">
        <w:rPr>
          <w:rFonts w:ascii="GHEA Grapalat" w:hAnsi="GHEA Grapalat" w:cs="GHEA Grapalat"/>
          <w:sz w:val="18"/>
          <w:szCs w:val="18"/>
        </w:rPr>
        <w:t>դրամ</w:t>
      </w:r>
      <w:r w:rsidRPr="007E72A4">
        <w:rPr>
          <w:rFonts w:ascii="GHEA Grapalat" w:hAnsi="GHEA Grapalat"/>
          <w:sz w:val="18"/>
          <w:szCs w:val="18"/>
        </w:rPr>
        <w:t xml:space="preserve"> փոխարժեքը։</w:t>
      </w:r>
    </w:p>
  </w:footnote>
  <w:footnote w:id="28">
    <w:p w:rsidR="00CB15FF" w:rsidRPr="007E72A4" w:rsidRDefault="00CB15FF" w:rsidP="00646A43">
      <w:pPr>
        <w:pStyle w:val="FootnoteText"/>
        <w:rPr>
          <w:rFonts w:ascii="GHEA Grapalat" w:hAnsi="GHEA Grapalat"/>
          <w:sz w:val="18"/>
        </w:rPr>
      </w:pPr>
      <w:r w:rsidRPr="007E72A4">
        <w:rPr>
          <w:rStyle w:val="FootnoteReference"/>
          <w:rFonts w:ascii="GHEA Grapalat" w:hAnsi="GHEA Grapalat"/>
          <w:sz w:val="18"/>
        </w:rPr>
        <w:footnoteRef/>
      </w:r>
      <w:r w:rsidRPr="007E72A4">
        <w:rPr>
          <w:rFonts w:ascii="GHEA Grapalat" w:hAnsi="GHEA Grapalat"/>
          <w:sz w:val="18"/>
        </w:rPr>
        <w:t xml:space="preserve"> Ըստ ՀՀ ՖՆ գնահատականների։ </w:t>
      </w:r>
    </w:p>
  </w:footnote>
  <w:footnote w:id="29">
    <w:p w:rsidR="00CB15FF" w:rsidRPr="00B57DAB" w:rsidRDefault="00CB15FF" w:rsidP="007E72A4">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Աղբյուրը՝ ՀՀ ՖՆ գնահատական</w:t>
      </w:r>
    </w:p>
    <w:p w:rsidR="00CB15FF" w:rsidRPr="00B57DAB" w:rsidRDefault="00CB15FF" w:rsidP="007E72A4">
      <w:pPr>
        <w:pStyle w:val="FootnoteText"/>
        <w:jc w:val="both"/>
        <w:rPr>
          <w:rFonts w:ascii="GHEA Grapalat" w:hAnsi="GHEA Grapalat"/>
          <w:sz w:val="18"/>
          <w:szCs w:val="18"/>
        </w:rPr>
      </w:pPr>
      <w:r w:rsidRPr="00B57DAB">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w:t>
      </w:r>
      <w:r>
        <w:rPr>
          <w:rFonts w:ascii="GHEA Grapalat" w:eastAsia="GHEA Grapalat" w:hAnsi="GHEA Grapalat" w:cs="GHEA Grapalat"/>
          <w:color w:val="000000"/>
          <w:sz w:val="18"/>
          <w:szCs w:val="18"/>
        </w:rPr>
        <w:t>ո</w:t>
      </w:r>
      <w:r w:rsidRPr="00B57DAB">
        <w:rPr>
          <w:rFonts w:ascii="GHEA Grapalat" w:eastAsia="GHEA Grapalat" w:hAnsi="GHEA Grapalat" w:cs="GHEA Grapalat"/>
          <w:color w:val="000000"/>
          <w:sz w:val="18"/>
          <w:szCs w:val="18"/>
        </w:rPr>
        <w:t>րման գումարները:</w:t>
      </w:r>
    </w:p>
  </w:footnote>
  <w:footnote w:id="30">
    <w:p w:rsidR="00CB15FF" w:rsidRPr="007A2AE4" w:rsidRDefault="00CB15FF" w:rsidP="007A2AE4">
      <w:pPr>
        <w:pStyle w:val="FootnoteText"/>
        <w:jc w:val="both"/>
        <w:rPr>
          <w:rFonts w:ascii="GHEA Grapalat" w:eastAsia="GHEA Grapalat" w:hAnsi="GHEA Grapalat" w:cs="GHEA Grapalat"/>
          <w:color w:val="000000"/>
          <w:sz w:val="18"/>
          <w:szCs w:val="18"/>
        </w:rPr>
      </w:pPr>
      <w:r w:rsidRPr="007A2AE4">
        <w:rPr>
          <w:rStyle w:val="FootnoteReference"/>
          <w:rFonts w:ascii="GHEA Grapalat" w:hAnsi="GHEA Grapalat"/>
          <w:sz w:val="18"/>
          <w:szCs w:val="18"/>
        </w:rPr>
        <w:footnoteRef/>
      </w:r>
      <w:r w:rsidRPr="007A2AE4">
        <w:rPr>
          <w:rFonts w:ascii="GHEA Grapalat" w:hAnsi="GHEA Grapalat"/>
          <w:sz w:val="18"/>
          <w:szCs w:val="18"/>
        </w:rPr>
        <w:t xml:space="preserve"> </w:t>
      </w:r>
      <w:r w:rsidRPr="007A2AE4">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1DE17E80"/>
    <w:multiLevelType w:val="hybridMultilevel"/>
    <w:tmpl w:val="B1F0D9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2D1C4368"/>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FC232E5"/>
    <w:multiLevelType w:val="hybridMultilevel"/>
    <w:tmpl w:val="363E6710"/>
    <w:lvl w:ilvl="0" w:tplc="39D2BCB0">
      <w:start w:val="5"/>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204E3A"/>
    <w:multiLevelType w:val="hybridMultilevel"/>
    <w:tmpl w:val="32D2F4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4BED74FC"/>
    <w:multiLevelType w:val="hybridMultilevel"/>
    <w:tmpl w:val="5094AD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2"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3">
    <w:abstractNumId w:val="5"/>
  </w:num>
  <w:num w:numId="4">
    <w:abstractNumId w:val="13"/>
  </w:num>
  <w:num w:numId="5">
    <w:abstractNumId w:val="11"/>
  </w:num>
  <w:num w:numId="6">
    <w:abstractNumId w:val="12"/>
  </w:num>
  <w:num w:numId="7">
    <w:abstractNumId w:val="6"/>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8"/>
  </w:num>
  <w:num w:numId="12">
    <w:abstractNumId w:val="7"/>
  </w:num>
  <w:num w:numId="13">
    <w:abstractNumId w:val="15"/>
  </w:num>
  <w:num w:numId="14">
    <w:abstractNumId w:val="2"/>
  </w:num>
  <w:num w:numId="15">
    <w:abstractNumId w:val="4"/>
  </w:num>
  <w:num w:numId="16">
    <w:abstractNumId w:val="3"/>
  </w:num>
  <w:num w:numId="17">
    <w:abstractNumId w:val="14"/>
  </w:num>
  <w:num w:numId="18">
    <w:abstractNumId w:val="10"/>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AT" w:vendorID="64" w:dllVersion="4096" w:nlCheck="1" w:checkStyle="0"/>
  <w:activeWritingStyle w:appName="MSWord" w:lang="en-US" w:vendorID="64" w:dllVersion="131078" w:nlCheck="1" w:checkStyle="0"/>
  <w:activeWritingStyle w:appName="MSWord" w:lang="fr-FR" w:vendorID="64" w:dllVersion="131078" w:nlCheck="1" w:checkStyle="0"/>
  <w:activeWritingStyle w:appName="MSWord" w:lang="de-AT"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59F"/>
    <w:rsid w:val="000008BF"/>
    <w:rsid w:val="00000B30"/>
    <w:rsid w:val="00000B8F"/>
    <w:rsid w:val="00000CC6"/>
    <w:rsid w:val="00000D27"/>
    <w:rsid w:val="00001056"/>
    <w:rsid w:val="0000105D"/>
    <w:rsid w:val="00001128"/>
    <w:rsid w:val="000011F1"/>
    <w:rsid w:val="00001662"/>
    <w:rsid w:val="00001A2F"/>
    <w:rsid w:val="00001C9D"/>
    <w:rsid w:val="00001E76"/>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40"/>
    <w:rsid w:val="0000799C"/>
    <w:rsid w:val="00007A36"/>
    <w:rsid w:val="00007B4C"/>
    <w:rsid w:val="00007B80"/>
    <w:rsid w:val="00007D4B"/>
    <w:rsid w:val="00007FBA"/>
    <w:rsid w:val="0001038E"/>
    <w:rsid w:val="000110DF"/>
    <w:rsid w:val="000110E9"/>
    <w:rsid w:val="0001143A"/>
    <w:rsid w:val="00011CB7"/>
    <w:rsid w:val="00011E46"/>
    <w:rsid w:val="0001221C"/>
    <w:rsid w:val="00012440"/>
    <w:rsid w:val="00012B18"/>
    <w:rsid w:val="00012BCB"/>
    <w:rsid w:val="00012DBA"/>
    <w:rsid w:val="00013BAF"/>
    <w:rsid w:val="0001467A"/>
    <w:rsid w:val="000158E4"/>
    <w:rsid w:val="00015A09"/>
    <w:rsid w:val="00015A48"/>
    <w:rsid w:val="00015A8F"/>
    <w:rsid w:val="00015E17"/>
    <w:rsid w:val="00015F18"/>
    <w:rsid w:val="0001629D"/>
    <w:rsid w:val="000164D9"/>
    <w:rsid w:val="00017132"/>
    <w:rsid w:val="00017218"/>
    <w:rsid w:val="00017681"/>
    <w:rsid w:val="00020049"/>
    <w:rsid w:val="00020407"/>
    <w:rsid w:val="00020C2C"/>
    <w:rsid w:val="00020D2D"/>
    <w:rsid w:val="000211AB"/>
    <w:rsid w:val="0002130B"/>
    <w:rsid w:val="000217F0"/>
    <w:rsid w:val="00021C51"/>
    <w:rsid w:val="00022212"/>
    <w:rsid w:val="000222C5"/>
    <w:rsid w:val="000223BF"/>
    <w:rsid w:val="00022848"/>
    <w:rsid w:val="00022A88"/>
    <w:rsid w:val="00022F8E"/>
    <w:rsid w:val="000232C2"/>
    <w:rsid w:val="00023958"/>
    <w:rsid w:val="00023C80"/>
    <w:rsid w:val="00023E03"/>
    <w:rsid w:val="00023F42"/>
    <w:rsid w:val="00023FD5"/>
    <w:rsid w:val="00024068"/>
    <w:rsid w:val="000241ED"/>
    <w:rsid w:val="00024510"/>
    <w:rsid w:val="00024BE3"/>
    <w:rsid w:val="000257DD"/>
    <w:rsid w:val="00025B6D"/>
    <w:rsid w:val="00025C71"/>
    <w:rsid w:val="00026F42"/>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E6C"/>
    <w:rsid w:val="00037FCE"/>
    <w:rsid w:val="00040285"/>
    <w:rsid w:val="00040458"/>
    <w:rsid w:val="000404CC"/>
    <w:rsid w:val="00040A33"/>
    <w:rsid w:val="00040CBC"/>
    <w:rsid w:val="00041126"/>
    <w:rsid w:val="000417E7"/>
    <w:rsid w:val="000419FD"/>
    <w:rsid w:val="00041D39"/>
    <w:rsid w:val="00041F1C"/>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922"/>
    <w:rsid w:val="00045F1D"/>
    <w:rsid w:val="00046182"/>
    <w:rsid w:val="00046DBB"/>
    <w:rsid w:val="00046E9C"/>
    <w:rsid w:val="00046EC2"/>
    <w:rsid w:val="00046EF6"/>
    <w:rsid w:val="00047624"/>
    <w:rsid w:val="0005023D"/>
    <w:rsid w:val="000504E3"/>
    <w:rsid w:val="000506B4"/>
    <w:rsid w:val="00050F0E"/>
    <w:rsid w:val="000513D9"/>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9D8"/>
    <w:rsid w:val="00055D53"/>
    <w:rsid w:val="00055D6A"/>
    <w:rsid w:val="0005675D"/>
    <w:rsid w:val="00056A1B"/>
    <w:rsid w:val="00057195"/>
    <w:rsid w:val="0005720C"/>
    <w:rsid w:val="0005787B"/>
    <w:rsid w:val="00057EA3"/>
    <w:rsid w:val="00057EEB"/>
    <w:rsid w:val="00057F2A"/>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75E"/>
    <w:rsid w:val="00070B99"/>
    <w:rsid w:val="00070ED4"/>
    <w:rsid w:val="000710A9"/>
    <w:rsid w:val="00071461"/>
    <w:rsid w:val="000715C1"/>
    <w:rsid w:val="00071BFB"/>
    <w:rsid w:val="00071E16"/>
    <w:rsid w:val="00071EF6"/>
    <w:rsid w:val="000722F9"/>
    <w:rsid w:val="00072746"/>
    <w:rsid w:val="00072776"/>
    <w:rsid w:val="00072917"/>
    <w:rsid w:val="00072933"/>
    <w:rsid w:val="00072BC8"/>
    <w:rsid w:val="00072BF4"/>
    <w:rsid w:val="00073125"/>
    <w:rsid w:val="00073296"/>
    <w:rsid w:val="00073602"/>
    <w:rsid w:val="00073EEA"/>
    <w:rsid w:val="00074532"/>
    <w:rsid w:val="00074829"/>
    <w:rsid w:val="00074F9B"/>
    <w:rsid w:val="00075484"/>
    <w:rsid w:val="00075682"/>
    <w:rsid w:val="00075BBB"/>
    <w:rsid w:val="000760D0"/>
    <w:rsid w:val="000763A2"/>
    <w:rsid w:val="00076548"/>
    <w:rsid w:val="000769F7"/>
    <w:rsid w:val="00076BEC"/>
    <w:rsid w:val="00076CDD"/>
    <w:rsid w:val="000776C2"/>
    <w:rsid w:val="00077865"/>
    <w:rsid w:val="000778EC"/>
    <w:rsid w:val="00077AB6"/>
    <w:rsid w:val="00077CF6"/>
    <w:rsid w:val="00080A6A"/>
    <w:rsid w:val="00080C7F"/>
    <w:rsid w:val="000810CD"/>
    <w:rsid w:val="0008143C"/>
    <w:rsid w:val="00081C42"/>
    <w:rsid w:val="00081C50"/>
    <w:rsid w:val="0008296E"/>
    <w:rsid w:val="00082C94"/>
    <w:rsid w:val="00082E1D"/>
    <w:rsid w:val="00082E2B"/>
    <w:rsid w:val="000831EF"/>
    <w:rsid w:val="000837E3"/>
    <w:rsid w:val="00083A8C"/>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87EF4"/>
    <w:rsid w:val="00090551"/>
    <w:rsid w:val="00090896"/>
    <w:rsid w:val="0009093B"/>
    <w:rsid w:val="000910AA"/>
    <w:rsid w:val="00091207"/>
    <w:rsid w:val="0009120E"/>
    <w:rsid w:val="00091DE9"/>
    <w:rsid w:val="00092206"/>
    <w:rsid w:val="000925C8"/>
    <w:rsid w:val="00092CDA"/>
    <w:rsid w:val="00092D7E"/>
    <w:rsid w:val="00092DFE"/>
    <w:rsid w:val="00092FE8"/>
    <w:rsid w:val="00092FF5"/>
    <w:rsid w:val="0009304F"/>
    <w:rsid w:val="000930E8"/>
    <w:rsid w:val="0009326E"/>
    <w:rsid w:val="000934C5"/>
    <w:rsid w:val="000935B0"/>
    <w:rsid w:val="00093A0E"/>
    <w:rsid w:val="00093F78"/>
    <w:rsid w:val="0009408E"/>
    <w:rsid w:val="00094B8A"/>
    <w:rsid w:val="0009531A"/>
    <w:rsid w:val="0009536E"/>
    <w:rsid w:val="000959EB"/>
    <w:rsid w:val="00095B5B"/>
    <w:rsid w:val="00095DAC"/>
    <w:rsid w:val="00096926"/>
    <w:rsid w:val="00096C25"/>
    <w:rsid w:val="00097145"/>
    <w:rsid w:val="000977F9"/>
    <w:rsid w:val="000A00F2"/>
    <w:rsid w:val="000A0728"/>
    <w:rsid w:val="000A0910"/>
    <w:rsid w:val="000A0F70"/>
    <w:rsid w:val="000A0F85"/>
    <w:rsid w:val="000A1327"/>
    <w:rsid w:val="000A13EE"/>
    <w:rsid w:val="000A1454"/>
    <w:rsid w:val="000A15DF"/>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97"/>
    <w:rsid w:val="000A5BEC"/>
    <w:rsid w:val="000A5D74"/>
    <w:rsid w:val="000A62A3"/>
    <w:rsid w:val="000A6673"/>
    <w:rsid w:val="000A67FF"/>
    <w:rsid w:val="000A698C"/>
    <w:rsid w:val="000A6ACE"/>
    <w:rsid w:val="000A6FCA"/>
    <w:rsid w:val="000A75D8"/>
    <w:rsid w:val="000A7633"/>
    <w:rsid w:val="000B0356"/>
    <w:rsid w:val="000B04BA"/>
    <w:rsid w:val="000B112B"/>
    <w:rsid w:val="000B13C7"/>
    <w:rsid w:val="000B18ED"/>
    <w:rsid w:val="000B20BF"/>
    <w:rsid w:val="000B27D3"/>
    <w:rsid w:val="000B2944"/>
    <w:rsid w:val="000B2B5C"/>
    <w:rsid w:val="000B2CE5"/>
    <w:rsid w:val="000B3222"/>
    <w:rsid w:val="000B32BA"/>
    <w:rsid w:val="000B3352"/>
    <w:rsid w:val="000B380A"/>
    <w:rsid w:val="000B3BD0"/>
    <w:rsid w:val="000B3BE7"/>
    <w:rsid w:val="000B45C7"/>
    <w:rsid w:val="000B4796"/>
    <w:rsid w:val="000B4CEC"/>
    <w:rsid w:val="000B4D60"/>
    <w:rsid w:val="000B507B"/>
    <w:rsid w:val="000B522D"/>
    <w:rsid w:val="000B53C0"/>
    <w:rsid w:val="000B5693"/>
    <w:rsid w:val="000B6458"/>
    <w:rsid w:val="000B67DC"/>
    <w:rsid w:val="000B6F7B"/>
    <w:rsid w:val="000B7B4F"/>
    <w:rsid w:val="000B7ED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820"/>
    <w:rsid w:val="000C591A"/>
    <w:rsid w:val="000C59C4"/>
    <w:rsid w:val="000C5BC4"/>
    <w:rsid w:val="000C6364"/>
    <w:rsid w:val="000C6513"/>
    <w:rsid w:val="000C661D"/>
    <w:rsid w:val="000C66E3"/>
    <w:rsid w:val="000C68C3"/>
    <w:rsid w:val="000C73D8"/>
    <w:rsid w:val="000C779C"/>
    <w:rsid w:val="000C7A92"/>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5FD9"/>
    <w:rsid w:val="000D6201"/>
    <w:rsid w:val="000D6397"/>
    <w:rsid w:val="000D6848"/>
    <w:rsid w:val="000D6918"/>
    <w:rsid w:val="000D7145"/>
    <w:rsid w:val="000D71D0"/>
    <w:rsid w:val="000D7226"/>
    <w:rsid w:val="000D7A77"/>
    <w:rsid w:val="000D7D4C"/>
    <w:rsid w:val="000D7EF5"/>
    <w:rsid w:val="000E02B5"/>
    <w:rsid w:val="000E05C6"/>
    <w:rsid w:val="000E08DA"/>
    <w:rsid w:val="000E08E0"/>
    <w:rsid w:val="000E08E1"/>
    <w:rsid w:val="000E0E7B"/>
    <w:rsid w:val="000E17F6"/>
    <w:rsid w:val="000E1AE6"/>
    <w:rsid w:val="000E2342"/>
    <w:rsid w:val="000E2648"/>
    <w:rsid w:val="000E2AEB"/>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1D6B"/>
    <w:rsid w:val="000F23F8"/>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33"/>
    <w:rsid w:val="000F5481"/>
    <w:rsid w:val="000F5647"/>
    <w:rsid w:val="000F589E"/>
    <w:rsid w:val="000F5B1D"/>
    <w:rsid w:val="000F5B8C"/>
    <w:rsid w:val="000F5F7A"/>
    <w:rsid w:val="000F6AAE"/>
    <w:rsid w:val="000F6B0F"/>
    <w:rsid w:val="000F72F5"/>
    <w:rsid w:val="000F7533"/>
    <w:rsid w:val="000F75DD"/>
    <w:rsid w:val="000F7F2A"/>
    <w:rsid w:val="000F7F5E"/>
    <w:rsid w:val="0010015A"/>
    <w:rsid w:val="001004D8"/>
    <w:rsid w:val="001009B9"/>
    <w:rsid w:val="00101080"/>
    <w:rsid w:val="00101608"/>
    <w:rsid w:val="001019D8"/>
    <w:rsid w:val="00101A70"/>
    <w:rsid w:val="00101C53"/>
    <w:rsid w:val="00101E99"/>
    <w:rsid w:val="00101EC2"/>
    <w:rsid w:val="00102838"/>
    <w:rsid w:val="0010292C"/>
    <w:rsid w:val="001029BA"/>
    <w:rsid w:val="00102B03"/>
    <w:rsid w:val="00102BD7"/>
    <w:rsid w:val="00102FAB"/>
    <w:rsid w:val="00104D90"/>
    <w:rsid w:val="0010525B"/>
    <w:rsid w:val="0010537C"/>
    <w:rsid w:val="00105703"/>
    <w:rsid w:val="00105757"/>
    <w:rsid w:val="00105FE9"/>
    <w:rsid w:val="001062AE"/>
    <w:rsid w:val="001063E9"/>
    <w:rsid w:val="001066F3"/>
    <w:rsid w:val="001068A5"/>
    <w:rsid w:val="00106C41"/>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65D"/>
    <w:rsid w:val="00113B42"/>
    <w:rsid w:val="00113E7E"/>
    <w:rsid w:val="0011404C"/>
    <w:rsid w:val="0011473D"/>
    <w:rsid w:val="00114DF7"/>
    <w:rsid w:val="00115A51"/>
    <w:rsid w:val="00115B85"/>
    <w:rsid w:val="001161C7"/>
    <w:rsid w:val="00116295"/>
    <w:rsid w:val="00116618"/>
    <w:rsid w:val="0011667C"/>
    <w:rsid w:val="00116AC0"/>
    <w:rsid w:val="00116BDF"/>
    <w:rsid w:val="00120218"/>
    <w:rsid w:val="00120584"/>
    <w:rsid w:val="00121052"/>
    <w:rsid w:val="00121233"/>
    <w:rsid w:val="001213D9"/>
    <w:rsid w:val="00121DDF"/>
    <w:rsid w:val="00121FA4"/>
    <w:rsid w:val="00122972"/>
    <w:rsid w:val="00123C2D"/>
    <w:rsid w:val="00123FD7"/>
    <w:rsid w:val="001243F3"/>
    <w:rsid w:val="001246C0"/>
    <w:rsid w:val="0012480D"/>
    <w:rsid w:val="00125349"/>
    <w:rsid w:val="00125BA3"/>
    <w:rsid w:val="00125F18"/>
    <w:rsid w:val="0012619C"/>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B78"/>
    <w:rsid w:val="0013131F"/>
    <w:rsid w:val="0013158E"/>
    <w:rsid w:val="00131861"/>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507"/>
    <w:rsid w:val="00135888"/>
    <w:rsid w:val="00135D72"/>
    <w:rsid w:val="0013623F"/>
    <w:rsid w:val="001363DF"/>
    <w:rsid w:val="00136B7B"/>
    <w:rsid w:val="00136E60"/>
    <w:rsid w:val="001376F7"/>
    <w:rsid w:val="0013772C"/>
    <w:rsid w:val="00137970"/>
    <w:rsid w:val="00137B88"/>
    <w:rsid w:val="00137F55"/>
    <w:rsid w:val="0014012C"/>
    <w:rsid w:val="00140193"/>
    <w:rsid w:val="001402CF"/>
    <w:rsid w:val="00140502"/>
    <w:rsid w:val="00140A82"/>
    <w:rsid w:val="00140F3A"/>
    <w:rsid w:val="0014138F"/>
    <w:rsid w:val="001415E8"/>
    <w:rsid w:val="00141B99"/>
    <w:rsid w:val="00141BBC"/>
    <w:rsid w:val="00141C2F"/>
    <w:rsid w:val="001420B7"/>
    <w:rsid w:val="0014241E"/>
    <w:rsid w:val="00142659"/>
    <w:rsid w:val="001429C8"/>
    <w:rsid w:val="00142B12"/>
    <w:rsid w:val="00142DA1"/>
    <w:rsid w:val="001430CF"/>
    <w:rsid w:val="00143249"/>
    <w:rsid w:val="0014333B"/>
    <w:rsid w:val="00143704"/>
    <w:rsid w:val="0014378E"/>
    <w:rsid w:val="00143939"/>
    <w:rsid w:val="00143C1C"/>
    <w:rsid w:val="001445A4"/>
    <w:rsid w:val="00144B31"/>
    <w:rsid w:val="001450E0"/>
    <w:rsid w:val="00145F1C"/>
    <w:rsid w:val="00146010"/>
    <w:rsid w:val="00147089"/>
    <w:rsid w:val="001472B2"/>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3186"/>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151"/>
    <w:rsid w:val="001603D8"/>
    <w:rsid w:val="0016068D"/>
    <w:rsid w:val="001607A1"/>
    <w:rsid w:val="001609FD"/>
    <w:rsid w:val="00160B84"/>
    <w:rsid w:val="00160CAF"/>
    <w:rsid w:val="00160F52"/>
    <w:rsid w:val="0016104E"/>
    <w:rsid w:val="001616B6"/>
    <w:rsid w:val="00161C6D"/>
    <w:rsid w:val="00162472"/>
    <w:rsid w:val="00162647"/>
    <w:rsid w:val="001628A4"/>
    <w:rsid w:val="00162CE6"/>
    <w:rsid w:val="00162E64"/>
    <w:rsid w:val="001634D1"/>
    <w:rsid w:val="0016369E"/>
    <w:rsid w:val="00164269"/>
    <w:rsid w:val="00164845"/>
    <w:rsid w:val="0016486D"/>
    <w:rsid w:val="001650C4"/>
    <w:rsid w:val="00165285"/>
    <w:rsid w:val="001655E0"/>
    <w:rsid w:val="00165CF5"/>
    <w:rsid w:val="00166002"/>
    <w:rsid w:val="00166018"/>
    <w:rsid w:val="00166346"/>
    <w:rsid w:val="0016645C"/>
    <w:rsid w:val="001672C9"/>
    <w:rsid w:val="00167302"/>
    <w:rsid w:val="001673D8"/>
    <w:rsid w:val="00167518"/>
    <w:rsid w:val="00170134"/>
    <w:rsid w:val="00170AC8"/>
    <w:rsid w:val="00170F79"/>
    <w:rsid w:val="0017111D"/>
    <w:rsid w:val="00171AC0"/>
    <w:rsid w:val="00172226"/>
    <w:rsid w:val="0017289D"/>
    <w:rsid w:val="00173196"/>
    <w:rsid w:val="001734D0"/>
    <w:rsid w:val="0017374D"/>
    <w:rsid w:val="0017386F"/>
    <w:rsid w:val="00173C2D"/>
    <w:rsid w:val="00173D47"/>
    <w:rsid w:val="001745CE"/>
    <w:rsid w:val="00174654"/>
    <w:rsid w:val="001748EE"/>
    <w:rsid w:val="00174906"/>
    <w:rsid w:val="0017493B"/>
    <w:rsid w:val="001749A3"/>
    <w:rsid w:val="001754DD"/>
    <w:rsid w:val="0017597B"/>
    <w:rsid w:val="001763F3"/>
    <w:rsid w:val="001764E1"/>
    <w:rsid w:val="0017695C"/>
    <w:rsid w:val="001769A0"/>
    <w:rsid w:val="001779E2"/>
    <w:rsid w:val="00177A7D"/>
    <w:rsid w:val="00177AB3"/>
    <w:rsid w:val="00177E33"/>
    <w:rsid w:val="001800AF"/>
    <w:rsid w:val="00180101"/>
    <w:rsid w:val="001807D6"/>
    <w:rsid w:val="001808BB"/>
    <w:rsid w:val="00180A83"/>
    <w:rsid w:val="00180C80"/>
    <w:rsid w:val="001816F5"/>
    <w:rsid w:val="00181B1E"/>
    <w:rsid w:val="001821E6"/>
    <w:rsid w:val="00182384"/>
    <w:rsid w:val="001828E9"/>
    <w:rsid w:val="00182C22"/>
    <w:rsid w:val="00182D91"/>
    <w:rsid w:val="00182DD8"/>
    <w:rsid w:val="001833C0"/>
    <w:rsid w:val="001841EF"/>
    <w:rsid w:val="00184E74"/>
    <w:rsid w:val="001855C7"/>
    <w:rsid w:val="0018564D"/>
    <w:rsid w:val="00185870"/>
    <w:rsid w:val="00185A70"/>
    <w:rsid w:val="00185F7D"/>
    <w:rsid w:val="001863FA"/>
    <w:rsid w:val="00186980"/>
    <w:rsid w:val="00187045"/>
    <w:rsid w:val="001871E8"/>
    <w:rsid w:val="0018720F"/>
    <w:rsid w:val="00187AA4"/>
    <w:rsid w:val="00187CC5"/>
    <w:rsid w:val="001913DD"/>
    <w:rsid w:val="001914D8"/>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2C"/>
    <w:rsid w:val="001948A5"/>
    <w:rsid w:val="00194B35"/>
    <w:rsid w:val="00194B63"/>
    <w:rsid w:val="00194E77"/>
    <w:rsid w:val="00194E8C"/>
    <w:rsid w:val="0019574B"/>
    <w:rsid w:val="0019579A"/>
    <w:rsid w:val="001958A2"/>
    <w:rsid w:val="00195A44"/>
    <w:rsid w:val="00196396"/>
    <w:rsid w:val="0019684E"/>
    <w:rsid w:val="00196EB5"/>
    <w:rsid w:val="001970F5"/>
    <w:rsid w:val="001974C6"/>
    <w:rsid w:val="001976FC"/>
    <w:rsid w:val="00197719"/>
    <w:rsid w:val="00197C1E"/>
    <w:rsid w:val="001A0BCE"/>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191"/>
    <w:rsid w:val="001A7327"/>
    <w:rsid w:val="001A745F"/>
    <w:rsid w:val="001A7942"/>
    <w:rsid w:val="001A7B88"/>
    <w:rsid w:val="001A7D80"/>
    <w:rsid w:val="001B0247"/>
    <w:rsid w:val="001B09A3"/>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69"/>
    <w:rsid w:val="001B59FD"/>
    <w:rsid w:val="001B5BBB"/>
    <w:rsid w:val="001B612F"/>
    <w:rsid w:val="001B6195"/>
    <w:rsid w:val="001B6546"/>
    <w:rsid w:val="001B6807"/>
    <w:rsid w:val="001B6B0D"/>
    <w:rsid w:val="001B6CF6"/>
    <w:rsid w:val="001B6FA4"/>
    <w:rsid w:val="001B7566"/>
    <w:rsid w:val="001B7881"/>
    <w:rsid w:val="001B7FDA"/>
    <w:rsid w:val="001C03A8"/>
    <w:rsid w:val="001C05B7"/>
    <w:rsid w:val="001C05FE"/>
    <w:rsid w:val="001C0D1F"/>
    <w:rsid w:val="001C0D8B"/>
    <w:rsid w:val="001C0DB1"/>
    <w:rsid w:val="001C1200"/>
    <w:rsid w:val="001C1378"/>
    <w:rsid w:val="001C165B"/>
    <w:rsid w:val="001C1A31"/>
    <w:rsid w:val="001C228D"/>
    <w:rsid w:val="001C2633"/>
    <w:rsid w:val="001C2B59"/>
    <w:rsid w:val="001C2CA9"/>
    <w:rsid w:val="001C3187"/>
    <w:rsid w:val="001C34C1"/>
    <w:rsid w:val="001C3737"/>
    <w:rsid w:val="001C38E5"/>
    <w:rsid w:val="001C3E85"/>
    <w:rsid w:val="001C3EBB"/>
    <w:rsid w:val="001C46A3"/>
    <w:rsid w:val="001C49C9"/>
    <w:rsid w:val="001C4F78"/>
    <w:rsid w:val="001C51C8"/>
    <w:rsid w:val="001C5318"/>
    <w:rsid w:val="001C5B5A"/>
    <w:rsid w:val="001C5D64"/>
    <w:rsid w:val="001C5D68"/>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028"/>
    <w:rsid w:val="001D2251"/>
    <w:rsid w:val="001D2356"/>
    <w:rsid w:val="001D24CF"/>
    <w:rsid w:val="001D2867"/>
    <w:rsid w:val="001D28DE"/>
    <w:rsid w:val="001D2EAB"/>
    <w:rsid w:val="001D3125"/>
    <w:rsid w:val="001D32AA"/>
    <w:rsid w:val="001D3714"/>
    <w:rsid w:val="001D432F"/>
    <w:rsid w:val="001D495D"/>
    <w:rsid w:val="001D4F3B"/>
    <w:rsid w:val="001D5619"/>
    <w:rsid w:val="001D5770"/>
    <w:rsid w:val="001D57E6"/>
    <w:rsid w:val="001D5AB9"/>
    <w:rsid w:val="001D5D31"/>
    <w:rsid w:val="001D60A1"/>
    <w:rsid w:val="001D646D"/>
    <w:rsid w:val="001D65C5"/>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1C8"/>
    <w:rsid w:val="001E4393"/>
    <w:rsid w:val="001E57E0"/>
    <w:rsid w:val="001E5A18"/>
    <w:rsid w:val="001E63BA"/>
    <w:rsid w:val="001E6F9F"/>
    <w:rsid w:val="001E749C"/>
    <w:rsid w:val="001E7D1C"/>
    <w:rsid w:val="001F0003"/>
    <w:rsid w:val="001F005B"/>
    <w:rsid w:val="001F0674"/>
    <w:rsid w:val="001F0C79"/>
    <w:rsid w:val="001F1381"/>
    <w:rsid w:val="001F14D2"/>
    <w:rsid w:val="001F184A"/>
    <w:rsid w:val="001F1971"/>
    <w:rsid w:val="001F1E67"/>
    <w:rsid w:val="001F222D"/>
    <w:rsid w:val="001F22D2"/>
    <w:rsid w:val="001F2349"/>
    <w:rsid w:val="001F26FF"/>
    <w:rsid w:val="001F2A93"/>
    <w:rsid w:val="001F2DA5"/>
    <w:rsid w:val="001F3262"/>
    <w:rsid w:val="001F349C"/>
    <w:rsid w:val="001F3E3D"/>
    <w:rsid w:val="001F401C"/>
    <w:rsid w:val="001F4A87"/>
    <w:rsid w:val="001F509D"/>
    <w:rsid w:val="001F53DC"/>
    <w:rsid w:val="001F5684"/>
    <w:rsid w:val="001F56B2"/>
    <w:rsid w:val="001F58C4"/>
    <w:rsid w:val="001F5A85"/>
    <w:rsid w:val="001F6DEC"/>
    <w:rsid w:val="001F6E53"/>
    <w:rsid w:val="001F6E8C"/>
    <w:rsid w:val="001F76F5"/>
    <w:rsid w:val="001F7839"/>
    <w:rsid w:val="001F7B05"/>
    <w:rsid w:val="001F7D18"/>
    <w:rsid w:val="00200008"/>
    <w:rsid w:val="002001F0"/>
    <w:rsid w:val="00200648"/>
    <w:rsid w:val="00200654"/>
    <w:rsid w:val="002006A0"/>
    <w:rsid w:val="00200996"/>
    <w:rsid w:val="00200A82"/>
    <w:rsid w:val="0020122A"/>
    <w:rsid w:val="002013E5"/>
    <w:rsid w:val="00201B3A"/>
    <w:rsid w:val="00202020"/>
    <w:rsid w:val="00203011"/>
    <w:rsid w:val="0020315E"/>
    <w:rsid w:val="0020317D"/>
    <w:rsid w:val="00203982"/>
    <w:rsid w:val="00203ACE"/>
    <w:rsid w:val="00204364"/>
    <w:rsid w:val="00204C21"/>
    <w:rsid w:val="00204CB9"/>
    <w:rsid w:val="00205003"/>
    <w:rsid w:val="00205A1D"/>
    <w:rsid w:val="00205E80"/>
    <w:rsid w:val="00206281"/>
    <w:rsid w:val="002065CF"/>
    <w:rsid w:val="00206604"/>
    <w:rsid w:val="0020672B"/>
    <w:rsid w:val="00206803"/>
    <w:rsid w:val="002074E1"/>
    <w:rsid w:val="002075BB"/>
    <w:rsid w:val="00207A92"/>
    <w:rsid w:val="00207AE1"/>
    <w:rsid w:val="00207C75"/>
    <w:rsid w:val="00207E2A"/>
    <w:rsid w:val="00207EA1"/>
    <w:rsid w:val="00210068"/>
    <w:rsid w:val="00210736"/>
    <w:rsid w:val="00210AF5"/>
    <w:rsid w:val="00210D0E"/>
    <w:rsid w:val="00210FC3"/>
    <w:rsid w:val="0021153D"/>
    <w:rsid w:val="00211609"/>
    <w:rsid w:val="00211976"/>
    <w:rsid w:val="002119B5"/>
    <w:rsid w:val="00211DFB"/>
    <w:rsid w:val="00211E93"/>
    <w:rsid w:val="00211F41"/>
    <w:rsid w:val="00211FB6"/>
    <w:rsid w:val="002122E1"/>
    <w:rsid w:val="00212520"/>
    <w:rsid w:val="002127B3"/>
    <w:rsid w:val="00212926"/>
    <w:rsid w:val="00212DC1"/>
    <w:rsid w:val="0021352E"/>
    <w:rsid w:val="00214A42"/>
    <w:rsid w:val="00214A63"/>
    <w:rsid w:val="00214D89"/>
    <w:rsid w:val="00214DD2"/>
    <w:rsid w:val="002157F2"/>
    <w:rsid w:val="00215EDB"/>
    <w:rsid w:val="00216631"/>
    <w:rsid w:val="0021671A"/>
    <w:rsid w:val="00216C49"/>
    <w:rsid w:val="00217093"/>
    <w:rsid w:val="002174A2"/>
    <w:rsid w:val="00217FCC"/>
    <w:rsid w:val="002206A9"/>
    <w:rsid w:val="00220A7B"/>
    <w:rsid w:val="00220DBB"/>
    <w:rsid w:val="00221039"/>
    <w:rsid w:val="002210EE"/>
    <w:rsid w:val="00221500"/>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69D"/>
    <w:rsid w:val="00226890"/>
    <w:rsid w:val="00226D15"/>
    <w:rsid w:val="002271CE"/>
    <w:rsid w:val="00227931"/>
    <w:rsid w:val="00227A68"/>
    <w:rsid w:val="00227C7A"/>
    <w:rsid w:val="00230A6E"/>
    <w:rsid w:val="00231A8D"/>
    <w:rsid w:val="00231C62"/>
    <w:rsid w:val="00231EFB"/>
    <w:rsid w:val="0023242A"/>
    <w:rsid w:val="002325E0"/>
    <w:rsid w:val="002326EE"/>
    <w:rsid w:val="00232E1C"/>
    <w:rsid w:val="00232EBE"/>
    <w:rsid w:val="00233363"/>
    <w:rsid w:val="00233522"/>
    <w:rsid w:val="0023358F"/>
    <w:rsid w:val="002336C0"/>
    <w:rsid w:val="002337B8"/>
    <w:rsid w:val="002338A0"/>
    <w:rsid w:val="00233E24"/>
    <w:rsid w:val="00233E5D"/>
    <w:rsid w:val="002347B4"/>
    <w:rsid w:val="002349DD"/>
    <w:rsid w:val="00234F33"/>
    <w:rsid w:val="00234F72"/>
    <w:rsid w:val="002351FD"/>
    <w:rsid w:val="002357F2"/>
    <w:rsid w:val="0023596E"/>
    <w:rsid w:val="00235D8C"/>
    <w:rsid w:val="00235D9E"/>
    <w:rsid w:val="00235E50"/>
    <w:rsid w:val="00236BEF"/>
    <w:rsid w:val="00236CD9"/>
    <w:rsid w:val="00237706"/>
    <w:rsid w:val="00237A24"/>
    <w:rsid w:val="00237E40"/>
    <w:rsid w:val="00240397"/>
    <w:rsid w:val="00240596"/>
    <w:rsid w:val="002406D6"/>
    <w:rsid w:val="00240846"/>
    <w:rsid w:val="0024098D"/>
    <w:rsid w:val="00240AE5"/>
    <w:rsid w:val="00240E3B"/>
    <w:rsid w:val="0024163D"/>
    <w:rsid w:val="00241D23"/>
    <w:rsid w:val="00241F1A"/>
    <w:rsid w:val="002420E9"/>
    <w:rsid w:val="0024223B"/>
    <w:rsid w:val="00242738"/>
    <w:rsid w:val="00242931"/>
    <w:rsid w:val="00242D20"/>
    <w:rsid w:val="0024323C"/>
    <w:rsid w:val="00243684"/>
    <w:rsid w:val="002439B6"/>
    <w:rsid w:val="00244258"/>
    <w:rsid w:val="0024468A"/>
    <w:rsid w:val="00244862"/>
    <w:rsid w:val="0024507E"/>
    <w:rsid w:val="002450CE"/>
    <w:rsid w:val="002452EC"/>
    <w:rsid w:val="00245978"/>
    <w:rsid w:val="00245F22"/>
    <w:rsid w:val="00246494"/>
    <w:rsid w:val="002465DF"/>
    <w:rsid w:val="0024683B"/>
    <w:rsid w:val="00246841"/>
    <w:rsid w:val="00246AFD"/>
    <w:rsid w:val="00246FDF"/>
    <w:rsid w:val="002470CE"/>
    <w:rsid w:val="002475F4"/>
    <w:rsid w:val="002479A4"/>
    <w:rsid w:val="00250216"/>
    <w:rsid w:val="0025043C"/>
    <w:rsid w:val="002506C3"/>
    <w:rsid w:val="00250F94"/>
    <w:rsid w:val="002511C4"/>
    <w:rsid w:val="0025134E"/>
    <w:rsid w:val="002516AF"/>
    <w:rsid w:val="002521B4"/>
    <w:rsid w:val="00252227"/>
    <w:rsid w:val="002523A8"/>
    <w:rsid w:val="00252747"/>
    <w:rsid w:val="002528AF"/>
    <w:rsid w:val="00252B7D"/>
    <w:rsid w:val="00252BA3"/>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645"/>
    <w:rsid w:val="0026072E"/>
    <w:rsid w:val="002608DC"/>
    <w:rsid w:val="00260AA9"/>
    <w:rsid w:val="002619EC"/>
    <w:rsid w:val="00262564"/>
    <w:rsid w:val="002628D7"/>
    <w:rsid w:val="00262BBA"/>
    <w:rsid w:val="00262D10"/>
    <w:rsid w:val="00262FB2"/>
    <w:rsid w:val="002631D1"/>
    <w:rsid w:val="002633CA"/>
    <w:rsid w:val="002634CA"/>
    <w:rsid w:val="00263967"/>
    <w:rsid w:val="002639CF"/>
    <w:rsid w:val="00263F2C"/>
    <w:rsid w:val="00265016"/>
    <w:rsid w:val="00265159"/>
    <w:rsid w:val="0026517F"/>
    <w:rsid w:val="00265189"/>
    <w:rsid w:val="002655DA"/>
    <w:rsid w:val="00265B4D"/>
    <w:rsid w:val="00265E88"/>
    <w:rsid w:val="00266679"/>
    <w:rsid w:val="0026691F"/>
    <w:rsid w:val="00266F81"/>
    <w:rsid w:val="002672BD"/>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1"/>
    <w:rsid w:val="00272E64"/>
    <w:rsid w:val="00273354"/>
    <w:rsid w:val="0027374D"/>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77B3F"/>
    <w:rsid w:val="00277F29"/>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19B"/>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5CB"/>
    <w:rsid w:val="00291AA5"/>
    <w:rsid w:val="0029236F"/>
    <w:rsid w:val="00292995"/>
    <w:rsid w:val="00292A1A"/>
    <w:rsid w:val="0029332E"/>
    <w:rsid w:val="002935FC"/>
    <w:rsid w:val="002935FE"/>
    <w:rsid w:val="00293933"/>
    <w:rsid w:val="0029404A"/>
    <w:rsid w:val="00294141"/>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0A6E"/>
    <w:rsid w:val="002A1007"/>
    <w:rsid w:val="002A131C"/>
    <w:rsid w:val="002A166A"/>
    <w:rsid w:val="002A1EC3"/>
    <w:rsid w:val="002A497E"/>
    <w:rsid w:val="002A4B9F"/>
    <w:rsid w:val="002A4F4D"/>
    <w:rsid w:val="002A4FA1"/>
    <w:rsid w:val="002A531B"/>
    <w:rsid w:val="002A61CA"/>
    <w:rsid w:val="002A697C"/>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5EBD"/>
    <w:rsid w:val="002B702F"/>
    <w:rsid w:val="002B76C1"/>
    <w:rsid w:val="002B7718"/>
    <w:rsid w:val="002B77E9"/>
    <w:rsid w:val="002C00C4"/>
    <w:rsid w:val="002C049B"/>
    <w:rsid w:val="002C0576"/>
    <w:rsid w:val="002C087B"/>
    <w:rsid w:val="002C0C59"/>
    <w:rsid w:val="002C129A"/>
    <w:rsid w:val="002C1518"/>
    <w:rsid w:val="002C15CF"/>
    <w:rsid w:val="002C1EA7"/>
    <w:rsid w:val="002C2145"/>
    <w:rsid w:val="002C25BC"/>
    <w:rsid w:val="002C26CD"/>
    <w:rsid w:val="002C2A0D"/>
    <w:rsid w:val="002C3257"/>
    <w:rsid w:val="002C329A"/>
    <w:rsid w:val="002C334E"/>
    <w:rsid w:val="002C393A"/>
    <w:rsid w:val="002C3C8E"/>
    <w:rsid w:val="002C3CA8"/>
    <w:rsid w:val="002C3FE5"/>
    <w:rsid w:val="002C438A"/>
    <w:rsid w:val="002C4399"/>
    <w:rsid w:val="002C453A"/>
    <w:rsid w:val="002C461A"/>
    <w:rsid w:val="002C4898"/>
    <w:rsid w:val="002C4C1D"/>
    <w:rsid w:val="002C4C43"/>
    <w:rsid w:val="002C56C2"/>
    <w:rsid w:val="002C57C8"/>
    <w:rsid w:val="002C6D82"/>
    <w:rsid w:val="002C7108"/>
    <w:rsid w:val="002D0115"/>
    <w:rsid w:val="002D0CA9"/>
    <w:rsid w:val="002D0E9D"/>
    <w:rsid w:val="002D13AA"/>
    <w:rsid w:val="002D196D"/>
    <w:rsid w:val="002D1CA3"/>
    <w:rsid w:val="002D1D80"/>
    <w:rsid w:val="002D1DC8"/>
    <w:rsid w:val="002D202E"/>
    <w:rsid w:val="002D205D"/>
    <w:rsid w:val="002D24B9"/>
    <w:rsid w:val="002D2752"/>
    <w:rsid w:val="002D278F"/>
    <w:rsid w:val="002D2AC3"/>
    <w:rsid w:val="002D3048"/>
    <w:rsid w:val="002D39E9"/>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04E5"/>
    <w:rsid w:val="002E10C8"/>
    <w:rsid w:val="002E10E9"/>
    <w:rsid w:val="002E177C"/>
    <w:rsid w:val="002E1A29"/>
    <w:rsid w:val="002E1E8C"/>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984"/>
    <w:rsid w:val="002E7AA7"/>
    <w:rsid w:val="002E7B63"/>
    <w:rsid w:val="002F026B"/>
    <w:rsid w:val="002F04E8"/>
    <w:rsid w:val="002F0A56"/>
    <w:rsid w:val="002F0B7D"/>
    <w:rsid w:val="002F0F7A"/>
    <w:rsid w:val="002F0F92"/>
    <w:rsid w:val="002F11BC"/>
    <w:rsid w:val="002F13E7"/>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5F06"/>
    <w:rsid w:val="002F65F6"/>
    <w:rsid w:val="002F6635"/>
    <w:rsid w:val="002F69EE"/>
    <w:rsid w:val="002F6EA7"/>
    <w:rsid w:val="002F73D5"/>
    <w:rsid w:val="00300843"/>
    <w:rsid w:val="00300AFD"/>
    <w:rsid w:val="003014BD"/>
    <w:rsid w:val="0030157D"/>
    <w:rsid w:val="00301EFE"/>
    <w:rsid w:val="00302108"/>
    <w:rsid w:val="003024DE"/>
    <w:rsid w:val="00302791"/>
    <w:rsid w:val="003027A0"/>
    <w:rsid w:val="003028AE"/>
    <w:rsid w:val="003028D4"/>
    <w:rsid w:val="00302C01"/>
    <w:rsid w:val="00302D5E"/>
    <w:rsid w:val="00302D61"/>
    <w:rsid w:val="00302F40"/>
    <w:rsid w:val="003034DC"/>
    <w:rsid w:val="00303720"/>
    <w:rsid w:val="00303F2B"/>
    <w:rsid w:val="0030428E"/>
    <w:rsid w:val="003043E6"/>
    <w:rsid w:val="00304A61"/>
    <w:rsid w:val="00304FB6"/>
    <w:rsid w:val="00305D8D"/>
    <w:rsid w:val="0030619A"/>
    <w:rsid w:val="003062CD"/>
    <w:rsid w:val="003063CF"/>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320"/>
    <w:rsid w:val="0031354E"/>
    <w:rsid w:val="00313621"/>
    <w:rsid w:val="00313944"/>
    <w:rsid w:val="00313F5E"/>
    <w:rsid w:val="00314250"/>
    <w:rsid w:val="00314326"/>
    <w:rsid w:val="00314669"/>
    <w:rsid w:val="00314A8D"/>
    <w:rsid w:val="00314F8E"/>
    <w:rsid w:val="00315982"/>
    <w:rsid w:val="00315B98"/>
    <w:rsid w:val="00315C59"/>
    <w:rsid w:val="00315D9F"/>
    <w:rsid w:val="00315F34"/>
    <w:rsid w:val="00316095"/>
    <w:rsid w:val="00316502"/>
    <w:rsid w:val="0031686F"/>
    <w:rsid w:val="00316A82"/>
    <w:rsid w:val="0031750D"/>
    <w:rsid w:val="003177CE"/>
    <w:rsid w:val="003178E0"/>
    <w:rsid w:val="00320348"/>
    <w:rsid w:val="00320553"/>
    <w:rsid w:val="00320794"/>
    <w:rsid w:val="00320915"/>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0D"/>
    <w:rsid w:val="003270A1"/>
    <w:rsid w:val="0032768E"/>
    <w:rsid w:val="00327939"/>
    <w:rsid w:val="00327C5B"/>
    <w:rsid w:val="00327EA0"/>
    <w:rsid w:val="00327F92"/>
    <w:rsid w:val="00330127"/>
    <w:rsid w:val="00330277"/>
    <w:rsid w:val="0033039D"/>
    <w:rsid w:val="003306F4"/>
    <w:rsid w:val="003308EB"/>
    <w:rsid w:val="00330D13"/>
    <w:rsid w:val="003310AC"/>
    <w:rsid w:val="003319FE"/>
    <w:rsid w:val="00331C5C"/>
    <w:rsid w:val="0033211C"/>
    <w:rsid w:val="003328E6"/>
    <w:rsid w:val="00332C58"/>
    <w:rsid w:val="00332FAB"/>
    <w:rsid w:val="00333209"/>
    <w:rsid w:val="003336AF"/>
    <w:rsid w:val="00334C7F"/>
    <w:rsid w:val="003352A6"/>
    <w:rsid w:val="00335577"/>
    <w:rsid w:val="00335D5E"/>
    <w:rsid w:val="00335F53"/>
    <w:rsid w:val="003365A7"/>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4C8B"/>
    <w:rsid w:val="00345499"/>
    <w:rsid w:val="00345968"/>
    <w:rsid w:val="00345A21"/>
    <w:rsid w:val="00345C07"/>
    <w:rsid w:val="00345DAB"/>
    <w:rsid w:val="00345FAF"/>
    <w:rsid w:val="0034605D"/>
    <w:rsid w:val="003465A4"/>
    <w:rsid w:val="0034665D"/>
    <w:rsid w:val="00346C87"/>
    <w:rsid w:val="00346F43"/>
    <w:rsid w:val="00347356"/>
    <w:rsid w:val="00347C5F"/>
    <w:rsid w:val="00347CE1"/>
    <w:rsid w:val="0035068B"/>
    <w:rsid w:val="0035093F"/>
    <w:rsid w:val="00351068"/>
    <w:rsid w:val="003516D5"/>
    <w:rsid w:val="0035191B"/>
    <w:rsid w:val="0035201F"/>
    <w:rsid w:val="0035205C"/>
    <w:rsid w:val="00352144"/>
    <w:rsid w:val="00352361"/>
    <w:rsid w:val="00352625"/>
    <w:rsid w:val="00352995"/>
    <w:rsid w:val="00352FB1"/>
    <w:rsid w:val="00353295"/>
    <w:rsid w:val="003536C4"/>
    <w:rsid w:val="003537BD"/>
    <w:rsid w:val="003539D2"/>
    <w:rsid w:val="0035433F"/>
    <w:rsid w:val="003546E7"/>
    <w:rsid w:val="00354735"/>
    <w:rsid w:val="00354A7C"/>
    <w:rsid w:val="00354AE7"/>
    <w:rsid w:val="00354BA2"/>
    <w:rsid w:val="00354BD2"/>
    <w:rsid w:val="00354C6A"/>
    <w:rsid w:val="00354E9E"/>
    <w:rsid w:val="0035540E"/>
    <w:rsid w:val="003555E7"/>
    <w:rsid w:val="00355E0C"/>
    <w:rsid w:val="00355E87"/>
    <w:rsid w:val="00355FFA"/>
    <w:rsid w:val="00356653"/>
    <w:rsid w:val="003577A1"/>
    <w:rsid w:val="00357A88"/>
    <w:rsid w:val="00357F77"/>
    <w:rsid w:val="003600F3"/>
    <w:rsid w:val="003602B7"/>
    <w:rsid w:val="00360453"/>
    <w:rsid w:val="00360A9D"/>
    <w:rsid w:val="00360B39"/>
    <w:rsid w:val="00360DCB"/>
    <w:rsid w:val="00360E40"/>
    <w:rsid w:val="0036174B"/>
    <w:rsid w:val="00361B1B"/>
    <w:rsid w:val="00361D05"/>
    <w:rsid w:val="0036215F"/>
    <w:rsid w:val="00362415"/>
    <w:rsid w:val="00362427"/>
    <w:rsid w:val="003624E2"/>
    <w:rsid w:val="0036274B"/>
    <w:rsid w:val="00362895"/>
    <w:rsid w:val="00362B53"/>
    <w:rsid w:val="00362F0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0A0"/>
    <w:rsid w:val="00370C94"/>
    <w:rsid w:val="003710E6"/>
    <w:rsid w:val="00371DFF"/>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02"/>
    <w:rsid w:val="00375F4A"/>
    <w:rsid w:val="0037604C"/>
    <w:rsid w:val="0037612B"/>
    <w:rsid w:val="00377301"/>
    <w:rsid w:val="00377484"/>
    <w:rsid w:val="00377A7A"/>
    <w:rsid w:val="00377C21"/>
    <w:rsid w:val="00377D7C"/>
    <w:rsid w:val="00380573"/>
    <w:rsid w:val="00381146"/>
    <w:rsid w:val="00381891"/>
    <w:rsid w:val="00381981"/>
    <w:rsid w:val="003819D4"/>
    <w:rsid w:val="00381AFB"/>
    <w:rsid w:val="00381FF7"/>
    <w:rsid w:val="0038207D"/>
    <w:rsid w:val="003824A7"/>
    <w:rsid w:val="003830F9"/>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0D70"/>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4D1"/>
    <w:rsid w:val="0039552C"/>
    <w:rsid w:val="003955FA"/>
    <w:rsid w:val="00395923"/>
    <w:rsid w:val="00395C73"/>
    <w:rsid w:val="00395E11"/>
    <w:rsid w:val="003967EF"/>
    <w:rsid w:val="00396851"/>
    <w:rsid w:val="00396B1F"/>
    <w:rsid w:val="00396FCF"/>
    <w:rsid w:val="00397404"/>
    <w:rsid w:val="00397535"/>
    <w:rsid w:val="00397873"/>
    <w:rsid w:val="00397A45"/>
    <w:rsid w:val="00397FBF"/>
    <w:rsid w:val="00397FFC"/>
    <w:rsid w:val="003A001A"/>
    <w:rsid w:val="003A0325"/>
    <w:rsid w:val="003A0BAA"/>
    <w:rsid w:val="003A0C66"/>
    <w:rsid w:val="003A0C77"/>
    <w:rsid w:val="003A0E92"/>
    <w:rsid w:val="003A10B2"/>
    <w:rsid w:val="003A11F5"/>
    <w:rsid w:val="003A166B"/>
    <w:rsid w:val="003A274F"/>
    <w:rsid w:val="003A2E35"/>
    <w:rsid w:val="003A30D9"/>
    <w:rsid w:val="003A31E0"/>
    <w:rsid w:val="003A321D"/>
    <w:rsid w:val="003A410B"/>
    <w:rsid w:val="003A4657"/>
    <w:rsid w:val="003A4970"/>
    <w:rsid w:val="003A52D2"/>
    <w:rsid w:val="003A5C26"/>
    <w:rsid w:val="003A6613"/>
    <w:rsid w:val="003A6E60"/>
    <w:rsid w:val="003A739E"/>
    <w:rsid w:val="003A77FE"/>
    <w:rsid w:val="003A77FF"/>
    <w:rsid w:val="003A7A33"/>
    <w:rsid w:val="003A7E6E"/>
    <w:rsid w:val="003B0222"/>
    <w:rsid w:val="003B038A"/>
    <w:rsid w:val="003B08D6"/>
    <w:rsid w:val="003B0931"/>
    <w:rsid w:val="003B0955"/>
    <w:rsid w:val="003B1019"/>
    <w:rsid w:val="003B1480"/>
    <w:rsid w:val="003B178F"/>
    <w:rsid w:val="003B1A40"/>
    <w:rsid w:val="003B21FC"/>
    <w:rsid w:val="003B2991"/>
    <w:rsid w:val="003B3026"/>
    <w:rsid w:val="003B329B"/>
    <w:rsid w:val="003B36DC"/>
    <w:rsid w:val="003B39D6"/>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63A"/>
    <w:rsid w:val="003B78FE"/>
    <w:rsid w:val="003B798F"/>
    <w:rsid w:val="003B7BF6"/>
    <w:rsid w:val="003C03A2"/>
    <w:rsid w:val="003C0889"/>
    <w:rsid w:val="003C090E"/>
    <w:rsid w:val="003C0CEF"/>
    <w:rsid w:val="003C13E5"/>
    <w:rsid w:val="003C1A13"/>
    <w:rsid w:val="003C1B9E"/>
    <w:rsid w:val="003C1C96"/>
    <w:rsid w:val="003C1DF7"/>
    <w:rsid w:val="003C22A8"/>
    <w:rsid w:val="003C25DC"/>
    <w:rsid w:val="003C263F"/>
    <w:rsid w:val="003C26C1"/>
    <w:rsid w:val="003C3BF6"/>
    <w:rsid w:val="003C3CE3"/>
    <w:rsid w:val="003C3D99"/>
    <w:rsid w:val="003C4063"/>
    <w:rsid w:val="003C43CF"/>
    <w:rsid w:val="003C44D4"/>
    <w:rsid w:val="003C4709"/>
    <w:rsid w:val="003C4E38"/>
    <w:rsid w:val="003C50A2"/>
    <w:rsid w:val="003C5971"/>
    <w:rsid w:val="003C5CD2"/>
    <w:rsid w:val="003C6855"/>
    <w:rsid w:val="003C6E28"/>
    <w:rsid w:val="003C72D7"/>
    <w:rsid w:val="003C743C"/>
    <w:rsid w:val="003C7500"/>
    <w:rsid w:val="003C775D"/>
    <w:rsid w:val="003C780E"/>
    <w:rsid w:val="003C788F"/>
    <w:rsid w:val="003C7CA2"/>
    <w:rsid w:val="003C7CE6"/>
    <w:rsid w:val="003C7ED6"/>
    <w:rsid w:val="003D00E9"/>
    <w:rsid w:val="003D081B"/>
    <w:rsid w:val="003D11E4"/>
    <w:rsid w:val="003D13D3"/>
    <w:rsid w:val="003D1D08"/>
    <w:rsid w:val="003D1E37"/>
    <w:rsid w:val="003D1F3C"/>
    <w:rsid w:val="003D25AD"/>
    <w:rsid w:val="003D2639"/>
    <w:rsid w:val="003D2739"/>
    <w:rsid w:val="003D27F8"/>
    <w:rsid w:val="003D2DA5"/>
    <w:rsid w:val="003D3D92"/>
    <w:rsid w:val="003D4057"/>
    <w:rsid w:val="003D40E5"/>
    <w:rsid w:val="003D446A"/>
    <w:rsid w:val="003D4490"/>
    <w:rsid w:val="003D49D1"/>
    <w:rsid w:val="003D4E23"/>
    <w:rsid w:val="003D57E9"/>
    <w:rsid w:val="003D5F86"/>
    <w:rsid w:val="003D6258"/>
    <w:rsid w:val="003D6274"/>
    <w:rsid w:val="003D6634"/>
    <w:rsid w:val="003D68A0"/>
    <w:rsid w:val="003D73B3"/>
    <w:rsid w:val="003D769D"/>
    <w:rsid w:val="003D7A35"/>
    <w:rsid w:val="003D7AF4"/>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06"/>
    <w:rsid w:val="003F07DF"/>
    <w:rsid w:val="003F0912"/>
    <w:rsid w:val="003F0963"/>
    <w:rsid w:val="003F1263"/>
    <w:rsid w:val="003F12A1"/>
    <w:rsid w:val="003F139B"/>
    <w:rsid w:val="003F1BE6"/>
    <w:rsid w:val="003F2149"/>
    <w:rsid w:val="003F230E"/>
    <w:rsid w:val="003F27EE"/>
    <w:rsid w:val="003F3305"/>
    <w:rsid w:val="003F3323"/>
    <w:rsid w:val="003F3AF7"/>
    <w:rsid w:val="003F48DA"/>
    <w:rsid w:val="003F4A31"/>
    <w:rsid w:val="003F5571"/>
    <w:rsid w:val="003F5DE5"/>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5CD"/>
    <w:rsid w:val="00404824"/>
    <w:rsid w:val="0040492B"/>
    <w:rsid w:val="00404AEA"/>
    <w:rsid w:val="00404E02"/>
    <w:rsid w:val="00405BED"/>
    <w:rsid w:val="00405D02"/>
    <w:rsid w:val="004062D0"/>
    <w:rsid w:val="0040635D"/>
    <w:rsid w:val="0040671E"/>
    <w:rsid w:val="00406C39"/>
    <w:rsid w:val="004075EC"/>
    <w:rsid w:val="0040764B"/>
    <w:rsid w:val="004079AF"/>
    <w:rsid w:val="0041017A"/>
    <w:rsid w:val="004103FE"/>
    <w:rsid w:val="00410784"/>
    <w:rsid w:val="0041092C"/>
    <w:rsid w:val="00410E01"/>
    <w:rsid w:val="0041105B"/>
    <w:rsid w:val="0041107B"/>
    <w:rsid w:val="004111E0"/>
    <w:rsid w:val="00411BD1"/>
    <w:rsid w:val="00411CA7"/>
    <w:rsid w:val="00412251"/>
    <w:rsid w:val="00412882"/>
    <w:rsid w:val="00412A05"/>
    <w:rsid w:val="00412BA3"/>
    <w:rsid w:val="00413042"/>
    <w:rsid w:val="0041319A"/>
    <w:rsid w:val="004132FF"/>
    <w:rsid w:val="00413766"/>
    <w:rsid w:val="0041389E"/>
    <w:rsid w:val="004139B0"/>
    <w:rsid w:val="004140DA"/>
    <w:rsid w:val="00414A5B"/>
    <w:rsid w:val="004152F2"/>
    <w:rsid w:val="00415514"/>
    <w:rsid w:val="00415A03"/>
    <w:rsid w:val="00416406"/>
    <w:rsid w:val="00416828"/>
    <w:rsid w:val="00416E29"/>
    <w:rsid w:val="00417145"/>
    <w:rsid w:val="00417CAC"/>
    <w:rsid w:val="00417F3A"/>
    <w:rsid w:val="004201B9"/>
    <w:rsid w:val="004205C5"/>
    <w:rsid w:val="0042069D"/>
    <w:rsid w:val="00420C1E"/>
    <w:rsid w:val="00420C93"/>
    <w:rsid w:val="00421073"/>
    <w:rsid w:val="0042109B"/>
    <w:rsid w:val="00421B68"/>
    <w:rsid w:val="004226E3"/>
    <w:rsid w:val="0042279F"/>
    <w:rsid w:val="00422C6A"/>
    <w:rsid w:val="00422D8A"/>
    <w:rsid w:val="00422EA5"/>
    <w:rsid w:val="00422F53"/>
    <w:rsid w:val="004230E3"/>
    <w:rsid w:val="00423290"/>
    <w:rsid w:val="004235EA"/>
    <w:rsid w:val="00424556"/>
    <w:rsid w:val="00424DEE"/>
    <w:rsid w:val="0042539B"/>
    <w:rsid w:val="004253EB"/>
    <w:rsid w:val="0042557B"/>
    <w:rsid w:val="00425732"/>
    <w:rsid w:val="00425859"/>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0B5"/>
    <w:rsid w:val="00432132"/>
    <w:rsid w:val="0043215B"/>
    <w:rsid w:val="00432D72"/>
    <w:rsid w:val="00433646"/>
    <w:rsid w:val="0043391E"/>
    <w:rsid w:val="00433B79"/>
    <w:rsid w:val="0043437C"/>
    <w:rsid w:val="00434549"/>
    <w:rsid w:val="00434B87"/>
    <w:rsid w:val="00435788"/>
    <w:rsid w:val="00435B7F"/>
    <w:rsid w:val="00435E31"/>
    <w:rsid w:val="00436104"/>
    <w:rsid w:val="00436107"/>
    <w:rsid w:val="00436CE4"/>
    <w:rsid w:val="00437690"/>
    <w:rsid w:val="004377C4"/>
    <w:rsid w:val="00437BB1"/>
    <w:rsid w:val="00437BE1"/>
    <w:rsid w:val="00437C9F"/>
    <w:rsid w:val="00440452"/>
    <w:rsid w:val="00440733"/>
    <w:rsid w:val="0044083A"/>
    <w:rsid w:val="004409B3"/>
    <w:rsid w:val="00440A66"/>
    <w:rsid w:val="00440BF4"/>
    <w:rsid w:val="00440F84"/>
    <w:rsid w:val="004410DB"/>
    <w:rsid w:val="004412A0"/>
    <w:rsid w:val="00441380"/>
    <w:rsid w:val="0044368F"/>
    <w:rsid w:val="00443695"/>
    <w:rsid w:val="004438E6"/>
    <w:rsid w:val="00443BF5"/>
    <w:rsid w:val="00443F22"/>
    <w:rsid w:val="00444185"/>
    <w:rsid w:val="00444373"/>
    <w:rsid w:val="0044488B"/>
    <w:rsid w:val="004448BE"/>
    <w:rsid w:val="00444990"/>
    <w:rsid w:val="00444DA7"/>
    <w:rsid w:val="004451D1"/>
    <w:rsid w:val="00445901"/>
    <w:rsid w:val="00445F86"/>
    <w:rsid w:val="00446118"/>
    <w:rsid w:val="0044645E"/>
    <w:rsid w:val="00446892"/>
    <w:rsid w:val="00446AF7"/>
    <w:rsid w:val="00446B4F"/>
    <w:rsid w:val="00446F61"/>
    <w:rsid w:val="00446F86"/>
    <w:rsid w:val="004472F0"/>
    <w:rsid w:val="00447455"/>
    <w:rsid w:val="00447472"/>
    <w:rsid w:val="00447C75"/>
    <w:rsid w:val="00447DB4"/>
    <w:rsid w:val="00450441"/>
    <w:rsid w:val="00450509"/>
    <w:rsid w:val="004507CD"/>
    <w:rsid w:val="00450CB3"/>
    <w:rsid w:val="00450DC1"/>
    <w:rsid w:val="00450E4A"/>
    <w:rsid w:val="004511AB"/>
    <w:rsid w:val="00451268"/>
    <w:rsid w:val="004517AD"/>
    <w:rsid w:val="00451C97"/>
    <w:rsid w:val="0045227C"/>
    <w:rsid w:val="004522C4"/>
    <w:rsid w:val="00452813"/>
    <w:rsid w:val="00453FDA"/>
    <w:rsid w:val="0045421B"/>
    <w:rsid w:val="00454410"/>
    <w:rsid w:val="004544AB"/>
    <w:rsid w:val="004548BD"/>
    <w:rsid w:val="00454A25"/>
    <w:rsid w:val="00454E98"/>
    <w:rsid w:val="00454FC9"/>
    <w:rsid w:val="0045505E"/>
    <w:rsid w:val="0045547A"/>
    <w:rsid w:val="00455508"/>
    <w:rsid w:val="0045560F"/>
    <w:rsid w:val="00455732"/>
    <w:rsid w:val="00455AE4"/>
    <w:rsid w:val="00455B5E"/>
    <w:rsid w:val="00455BF2"/>
    <w:rsid w:val="00455C5F"/>
    <w:rsid w:val="00455E6B"/>
    <w:rsid w:val="00455EB2"/>
    <w:rsid w:val="00455FD4"/>
    <w:rsid w:val="00456744"/>
    <w:rsid w:val="00456CF3"/>
    <w:rsid w:val="00456D8C"/>
    <w:rsid w:val="004571B8"/>
    <w:rsid w:val="00457563"/>
    <w:rsid w:val="00457894"/>
    <w:rsid w:val="00457AF4"/>
    <w:rsid w:val="00457BFC"/>
    <w:rsid w:val="004601A3"/>
    <w:rsid w:val="004604A4"/>
    <w:rsid w:val="00460883"/>
    <w:rsid w:val="004615BB"/>
    <w:rsid w:val="00461E2D"/>
    <w:rsid w:val="00462052"/>
    <w:rsid w:val="0046247D"/>
    <w:rsid w:val="004624C0"/>
    <w:rsid w:val="00462B8F"/>
    <w:rsid w:val="0046313C"/>
    <w:rsid w:val="00463429"/>
    <w:rsid w:val="00463DCF"/>
    <w:rsid w:val="00463E1A"/>
    <w:rsid w:val="00463F57"/>
    <w:rsid w:val="00464537"/>
    <w:rsid w:val="00464A44"/>
    <w:rsid w:val="00464BE4"/>
    <w:rsid w:val="00464D1B"/>
    <w:rsid w:val="00464F92"/>
    <w:rsid w:val="004653C3"/>
    <w:rsid w:val="00465DCA"/>
    <w:rsid w:val="00466129"/>
    <w:rsid w:val="004661AD"/>
    <w:rsid w:val="00466231"/>
    <w:rsid w:val="00466316"/>
    <w:rsid w:val="0046632A"/>
    <w:rsid w:val="0046647B"/>
    <w:rsid w:val="00466534"/>
    <w:rsid w:val="00466724"/>
    <w:rsid w:val="004667E8"/>
    <w:rsid w:val="00466D11"/>
    <w:rsid w:val="00467191"/>
    <w:rsid w:val="004678ED"/>
    <w:rsid w:val="00467C77"/>
    <w:rsid w:val="00467D51"/>
    <w:rsid w:val="00470140"/>
    <w:rsid w:val="00470932"/>
    <w:rsid w:val="00470A3A"/>
    <w:rsid w:val="00470F43"/>
    <w:rsid w:val="00471D1B"/>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EED"/>
    <w:rsid w:val="00475F70"/>
    <w:rsid w:val="00475F7E"/>
    <w:rsid w:val="004761DB"/>
    <w:rsid w:val="00476950"/>
    <w:rsid w:val="00476BF0"/>
    <w:rsid w:val="004771E3"/>
    <w:rsid w:val="004775FD"/>
    <w:rsid w:val="00477A96"/>
    <w:rsid w:val="00480276"/>
    <w:rsid w:val="00480664"/>
    <w:rsid w:val="004809FD"/>
    <w:rsid w:val="004810B5"/>
    <w:rsid w:val="00481C4D"/>
    <w:rsid w:val="00482437"/>
    <w:rsid w:val="0048265B"/>
    <w:rsid w:val="00482E6B"/>
    <w:rsid w:val="00483389"/>
    <w:rsid w:val="00483524"/>
    <w:rsid w:val="00483A4F"/>
    <w:rsid w:val="00483F59"/>
    <w:rsid w:val="0048462D"/>
    <w:rsid w:val="004848B7"/>
    <w:rsid w:val="00484BFC"/>
    <w:rsid w:val="00484CAB"/>
    <w:rsid w:val="00485462"/>
    <w:rsid w:val="004858A5"/>
    <w:rsid w:val="00485D99"/>
    <w:rsid w:val="0048614B"/>
    <w:rsid w:val="004862A7"/>
    <w:rsid w:val="0048668C"/>
    <w:rsid w:val="004866E1"/>
    <w:rsid w:val="00486711"/>
    <w:rsid w:val="00486734"/>
    <w:rsid w:val="00486CA2"/>
    <w:rsid w:val="00486ED6"/>
    <w:rsid w:val="0048711A"/>
    <w:rsid w:val="0048754B"/>
    <w:rsid w:val="00487A5F"/>
    <w:rsid w:val="00487DE3"/>
    <w:rsid w:val="00490082"/>
    <w:rsid w:val="0049016D"/>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4FC9"/>
    <w:rsid w:val="0049527E"/>
    <w:rsid w:val="0049555D"/>
    <w:rsid w:val="00495FBE"/>
    <w:rsid w:val="00496486"/>
    <w:rsid w:val="00496906"/>
    <w:rsid w:val="00496DD2"/>
    <w:rsid w:val="00497007"/>
    <w:rsid w:val="00497B24"/>
    <w:rsid w:val="00497F36"/>
    <w:rsid w:val="00497F56"/>
    <w:rsid w:val="00497FFA"/>
    <w:rsid w:val="004A022F"/>
    <w:rsid w:val="004A03F0"/>
    <w:rsid w:val="004A1076"/>
    <w:rsid w:val="004A111F"/>
    <w:rsid w:val="004A144E"/>
    <w:rsid w:val="004A14AA"/>
    <w:rsid w:val="004A2E50"/>
    <w:rsid w:val="004A3240"/>
    <w:rsid w:val="004A4091"/>
    <w:rsid w:val="004A4743"/>
    <w:rsid w:val="004A489E"/>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131"/>
    <w:rsid w:val="004B03EC"/>
    <w:rsid w:val="004B0578"/>
    <w:rsid w:val="004B0A6E"/>
    <w:rsid w:val="004B0DA4"/>
    <w:rsid w:val="004B0E94"/>
    <w:rsid w:val="004B101F"/>
    <w:rsid w:val="004B1222"/>
    <w:rsid w:val="004B126B"/>
    <w:rsid w:val="004B12D7"/>
    <w:rsid w:val="004B1CD6"/>
    <w:rsid w:val="004B1DD5"/>
    <w:rsid w:val="004B1FF4"/>
    <w:rsid w:val="004B27A9"/>
    <w:rsid w:val="004B28C1"/>
    <w:rsid w:val="004B2AE4"/>
    <w:rsid w:val="004B32A2"/>
    <w:rsid w:val="004B338C"/>
    <w:rsid w:val="004B33F5"/>
    <w:rsid w:val="004B3797"/>
    <w:rsid w:val="004B3C43"/>
    <w:rsid w:val="004B3D51"/>
    <w:rsid w:val="004B3DA5"/>
    <w:rsid w:val="004B3E7A"/>
    <w:rsid w:val="004B45B0"/>
    <w:rsid w:val="004B4759"/>
    <w:rsid w:val="004B4761"/>
    <w:rsid w:val="004B48C8"/>
    <w:rsid w:val="004B5393"/>
    <w:rsid w:val="004B578C"/>
    <w:rsid w:val="004B5FE4"/>
    <w:rsid w:val="004B6196"/>
    <w:rsid w:val="004B698A"/>
    <w:rsid w:val="004B69E5"/>
    <w:rsid w:val="004B75CF"/>
    <w:rsid w:val="004B7834"/>
    <w:rsid w:val="004B7FB8"/>
    <w:rsid w:val="004B7FD8"/>
    <w:rsid w:val="004C0207"/>
    <w:rsid w:val="004C03E0"/>
    <w:rsid w:val="004C0955"/>
    <w:rsid w:val="004C0AD4"/>
    <w:rsid w:val="004C0D21"/>
    <w:rsid w:val="004C10C8"/>
    <w:rsid w:val="004C12ED"/>
    <w:rsid w:val="004C1309"/>
    <w:rsid w:val="004C15C6"/>
    <w:rsid w:val="004C1754"/>
    <w:rsid w:val="004C2051"/>
    <w:rsid w:val="004C2786"/>
    <w:rsid w:val="004C2B8F"/>
    <w:rsid w:val="004C2BFB"/>
    <w:rsid w:val="004C2C4D"/>
    <w:rsid w:val="004C2E6E"/>
    <w:rsid w:val="004C31D7"/>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673"/>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2A6"/>
    <w:rsid w:val="004D64D8"/>
    <w:rsid w:val="004D6925"/>
    <w:rsid w:val="004D6D5F"/>
    <w:rsid w:val="004D72D7"/>
    <w:rsid w:val="004D7841"/>
    <w:rsid w:val="004D7ACC"/>
    <w:rsid w:val="004D7CFC"/>
    <w:rsid w:val="004E00F7"/>
    <w:rsid w:val="004E07A7"/>
    <w:rsid w:val="004E07D2"/>
    <w:rsid w:val="004E0FB9"/>
    <w:rsid w:val="004E11C7"/>
    <w:rsid w:val="004E15AA"/>
    <w:rsid w:val="004E1B1C"/>
    <w:rsid w:val="004E2241"/>
    <w:rsid w:val="004E24FF"/>
    <w:rsid w:val="004E36B1"/>
    <w:rsid w:val="004E38CA"/>
    <w:rsid w:val="004E39E5"/>
    <w:rsid w:val="004E3BCA"/>
    <w:rsid w:val="004E3C1A"/>
    <w:rsid w:val="004E3EC4"/>
    <w:rsid w:val="004E3F0A"/>
    <w:rsid w:val="004E3FD6"/>
    <w:rsid w:val="004E407F"/>
    <w:rsid w:val="004E47FA"/>
    <w:rsid w:val="004E48F2"/>
    <w:rsid w:val="004E49BC"/>
    <w:rsid w:val="004E4A52"/>
    <w:rsid w:val="004E4CEF"/>
    <w:rsid w:val="004E50B4"/>
    <w:rsid w:val="004E5433"/>
    <w:rsid w:val="004E543C"/>
    <w:rsid w:val="004E54BB"/>
    <w:rsid w:val="004E54E4"/>
    <w:rsid w:val="004E58C2"/>
    <w:rsid w:val="004E5DA1"/>
    <w:rsid w:val="004E5DD6"/>
    <w:rsid w:val="004E65AE"/>
    <w:rsid w:val="004E666B"/>
    <w:rsid w:val="004E69FC"/>
    <w:rsid w:val="004E6AF3"/>
    <w:rsid w:val="004E6E32"/>
    <w:rsid w:val="004E7219"/>
    <w:rsid w:val="004E7534"/>
    <w:rsid w:val="004E7682"/>
    <w:rsid w:val="004E7CDC"/>
    <w:rsid w:val="004E7D2E"/>
    <w:rsid w:val="004E7E60"/>
    <w:rsid w:val="004F03F8"/>
    <w:rsid w:val="004F053F"/>
    <w:rsid w:val="004F0DB3"/>
    <w:rsid w:val="004F0FAE"/>
    <w:rsid w:val="004F12B7"/>
    <w:rsid w:val="004F1B2E"/>
    <w:rsid w:val="004F2AA7"/>
    <w:rsid w:val="004F3CB3"/>
    <w:rsid w:val="004F3FF4"/>
    <w:rsid w:val="004F4637"/>
    <w:rsid w:val="004F49A4"/>
    <w:rsid w:val="004F4AB3"/>
    <w:rsid w:val="004F5B8B"/>
    <w:rsid w:val="004F656F"/>
    <w:rsid w:val="004F6B7B"/>
    <w:rsid w:val="004F6F8D"/>
    <w:rsid w:val="004F7312"/>
    <w:rsid w:val="004F7454"/>
    <w:rsid w:val="004F783F"/>
    <w:rsid w:val="004F7917"/>
    <w:rsid w:val="005004D9"/>
    <w:rsid w:val="005004E7"/>
    <w:rsid w:val="005013D9"/>
    <w:rsid w:val="005017CA"/>
    <w:rsid w:val="00501BF6"/>
    <w:rsid w:val="00501E76"/>
    <w:rsid w:val="00502140"/>
    <w:rsid w:val="00502F09"/>
    <w:rsid w:val="005030D5"/>
    <w:rsid w:val="005030DD"/>
    <w:rsid w:val="0050380D"/>
    <w:rsid w:val="005038A8"/>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AC0"/>
    <w:rsid w:val="00511B07"/>
    <w:rsid w:val="00511B1A"/>
    <w:rsid w:val="00511FD7"/>
    <w:rsid w:val="00512A3D"/>
    <w:rsid w:val="00512B26"/>
    <w:rsid w:val="00512C3B"/>
    <w:rsid w:val="005131A4"/>
    <w:rsid w:val="00513750"/>
    <w:rsid w:val="00513FE7"/>
    <w:rsid w:val="00514031"/>
    <w:rsid w:val="0051455C"/>
    <w:rsid w:val="00514D5E"/>
    <w:rsid w:val="00514F44"/>
    <w:rsid w:val="00515614"/>
    <w:rsid w:val="00515EDB"/>
    <w:rsid w:val="00516103"/>
    <w:rsid w:val="005162BC"/>
    <w:rsid w:val="00516B2B"/>
    <w:rsid w:val="00516FBB"/>
    <w:rsid w:val="005173CB"/>
    <w:rsid w:val="00517BC5"/>
    <w:rsid w:val="0052097A"/>
    <w:rsid w:val="00521363"/>
    <w:rsid w:val="00521AEA"/>
    <w:rsid w:val="00522B90"/>
    <w:rsid w:val="00523067"/>
    <w:rsid w:val="0052331E"/>
    <w:rsid w:val="005233B2"/>
    <w:rsid w:val="005234AB"/>
    <w:rsid w:val="00523732"/>
    <w:rsid w:val="0052394A"/>
    <w:rsid w:val="005239AE"/>
    <w:rsid w:val="005239FD"/>
    <w:rsid w:val="00523A80"/>
    <w:rsid w:val="00523B2B"/>
    <w:rsid w:val="00523BA0"/>
    <w:rsid w:val="005240F9"/>
    <w:rsid w:val="005244AC"/>
    <w:rsid w:val="005247AB"/>
    <w:rsid w:val="00524857"/>
    <w:rsid w:val="005248F6"/>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2A8B"/>
    <w:rsid w:val="0053365D"/>
    <w:rsid w:val="0053385C"/>
    <w:rsid w:val="005338BA"/>
    <w:rsid w:val="00533EEC"/>
    <w:rsid w:val="005349EB"/>
    <w:rsid w:val="00535762"/>
    <w:rsid w:val="00536176"/>
    <w:rsid w:val="005362D0"/>
    <w:rsid w:val="005367F9"/>
    <w:rsid w:val="00536C1F"/>
    <w:rsid w:val="00537AD9"/>
    <w:rsid w:val="00537DBA"/>
    <w:rsid w:val="0054001E"/>
    <w:rsid w:val="005401F9"/>
    <w:rsid w:val="005402F6"/>
    <w:rsid w:val="00540759"/>
    <w:rsid w:val="00541103"/>
    <w:rsid w:val="0054173C"/>
    <w:rsid w:val="00542013"/>
    <w:rsid w:val="00542091"/>
    <w:rsid w:val="005422B9"/>
    <w:rsid w:val="00542A4E"/>
    <w:rsid w:val="00542FFA"/>
    <w:rsid w:val="00542FFC"/>
    <w:rsid w:val="005437B9"/>
    <w:rsid w:val="00543C3A"/>
    <w:rsid w:val="00543F7E"/>
    <w:rsid w:val="00544114"/>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A72"/>
    <w:rsid w:val="00550C4E"/>
    <w:rsid w:val="005516B7"/>
    <w:rsid w:val="0055210B"/>
    <w:rsid w:val="005522A2"/>
    <w:rsid w:val="0055255B"/>
    <w:rsid w:val="005526C7"/>
    <w:rsid w:val="00552A44"/>
    <w:rsid w:val="00552ABF"/>
    <w:rsid w:val="00553094"/>
    <w:rsid w:val="005531D1"/>
    <w:rsid w:val="00553497"/>
    <w:rsid w:val="005534B3"/>
    <w:rsid w:val="00553765"/>
    <w:rsid w:val="00553FF2"/>
    <w:rsid w:val="005550EB"/>
    <w:rsid w:val="005554BD"/>
    <w:rsid w:val="005559D5"/>
    <w:rsid w:val="00555BAE"/>
    <w:rsid w:val="00555CC4"/>
    <w:rsid w:val="00555F21"/>
    <w:rsid w:val="00555F2C"/>
    <w:rsid w:val="0055604D"/>
    <w:rsid w:val="00556991"/>
    <w:rsid w:val="0055766F"/>
    <w:rsid w:val="00557C26"/>
    <w:rsid w:val="00560268"/>
    <w:rsid w:val="005603C6"/>
    <w:rsid w:val="0056043F"/>
    <w:rsid w:val="00560AF3"/>
    <w:rsid w:val="005613A0"/>
    <w:rsid w:val="00561737"/>
    <w:rsid w:val="00561C7E"/>
    <w:rsid w:val="00562969"/>
    <w:rsid w:val="00562AD4"/>
    <w:rsid w:val="00563135"/>
    <w:rsid w:val="00564352"/>
    <w:rsid w:val="00564359"/>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00D"/>
    <w:rsid w:val="00567A61"/>
    <w:rsid w:val="00567E5C"/>
    <w:rsid w:val="00570294"/>
    <w:rsid w:val="00570A2E"/>
    <w:rsid w:val="00570D71"/>
    <w:rsid w:val="005710A6"/>
    <w:rsid w:val="005712D3"/>
    <w:rsid w:val="005715CF"/>
    <w:rsid w:val="00571B29"/>
    <w:rsid w:val="00571B69"/>
    <w:rsid w:val="00571F14"/>
    <w:rsid w:val="005722DF"/>
    <w:rsid w:val="00572CCF"/>
    <w:rsid w:val="00572CED"/>
    <w:rsid w:val="00572CF4"/>
    <w:rsid w:val="00573118"/>
    <w:rsid w:val="00573287"/>
    <w:rsid w:val="005733FE"/>
    <w:rsid w:val="00573B47"/>
    <w:rsid w:val="00573E22"/>
    <w:rsid w:val="0057404C"/>
    <w:rsid w:val="005744F6"/>
    <w:rsid w:val="00574C65"/>
    <w:rsid w:val="00574FCF"/>
    <w:rsid w:val="00575454"/>
    <w:rsid w:val="00575475"/>
    <w:rsid w:val="005755EF"/>
    <w:rsid w:val="00575889"/>
    <w:rsid w:val="00575A19"/>
    <w:rsid w:val="00575CD7"/>
    <w:rsid w:val="00575E1D"/>
    <w:rsid w:val="00576299"/>
    <w:rsid w:val="00576878"/>
    <w:rsid w:val="00576BC5"/>
    <w:rsid w:val="00576DF1"/>
    <w:rsid w:val="0057797B"/>
    <w:rsid w:val="00577A67"/>
    <w:rsid w:val="00577BA6"/>
    <w:rsid w:val="00580A09"/>
    <w:rsid w:val="00580ECD"/>
    <w:rsid w:val="0058168D"/>
    <w:rsid w:val="00581AB6"/>
    <w:rsid w:val="00581E96"/>
    <w:rsid w:val="00581FB3"/>
    <w:rsid w:val="00582563"/>
    <w:rsid w:val="005827EB"/>
    <w:rsid w:val="00582E00"/>
    <w:rsid w:val="00582F40"/>
    <w:rsid w:val="005836CA"/>
    <w:rsid w:val="005839B5"/>
    <w:rsid w:val="00583AC3"/>
    <w:rsid w:val="00583C9B"/>
    <w:rsid w:val="00583D84"/>
    <w:rsid w:val="00584690"/>
    <w:rsid w:val="005848B3"/>
    <w:rsid w:val="00584B7A"/>
    <w:rsid w:val="0058501F"/>
    <w:rsid w:val="00585134"/>
    <w:rsid w:val="00585D44"/>
    <w:rsid w:val="00585E2D"/>
    <w:rsid w:val="005862C2"/>
    <w:rsid w:val="005862FC"/>
    <w:rsid w:val="00586E33"/>
    <w:rsid w:val="0058703C"/>
    <w:rsid w:val="00587331"/>
    <w:rsid w:val="005879DC"/>
    <w:rsid w:val="005902C6"/>
    <w:rsid w:val="00590382"/>
    <w:rsid w:val="005907A2"/>
    <w:rsid w:val="00590A70"/>
    <w:rsid w:val="005916AC"/>
    <w:rsid w:val="00591B1D"/>
    <w:rsid w:val="00591C8D"/>
    <w:rsid w:val="00591E68"/>
    <w:rsid w:val="005920AD"/>
    <w:rsid w:val="00592E1E"/>
    <w:rsid w:val="00592F39"/>
    <w:rsid w:val="005930E3"/>
    <w:rsid w:val="00593F6B"/>
    <w:rsid w:val="0059400F"/>
    <w:rsid w:val="00594346"/>
    <w:rsid w:val="0059443E"/>
    <w:rsid w:val="00594A88"/>
    <w:rsid w:val="00594B7B"/>
    <w:rsid w:val="00594BCD"/>
    <w:rsid w:val="00594BEF"/>
    <w:rsid w:val="00594C60"/>
    <w:rsid w:val="00595240"/>
    <w:rsid w:val="0059532D"/>
    <w:rsid w:val="005959C6"/>
    <w:rsid w:val="00595E45"/>
    <w:rsid w:val="00596399"/>
    <w:rsid w:val="0059640C"/>
    <w:rsid w:val="00596B35"/>
    <w:rsid w:val="00597285"/>
    <w:rsid w:val="00597A87"/>
    <w:rsid w:val="00597A9B"/>
    <w:rsid w:val="00597AAF"/>
    <w:rsid w:val="005A01F2"/>
    <w:rsid w:val="005A0210"/>
    <w:rsid w:val="005A048E"/>
    <w:rsid w:val="005A0691"/>
    <w:rsid w:val="005A0807"/>
    <w:rsid w:val="005A0D10"/>
    <w:rsid w:val="005A0E5D"/>
    <w:rsid w:val="005A0E7B"/>
    <w:rsid w:val="005A10F2"/>
    <w:rsid w:val="005A1165"/>
    <w:rsid w:val="005A14E2"/>
    <w:rsid w:val="005A15F1"/>
    <w:rsid w:val="005A1699"/>
    <w:rsid w:val="005A1884"/>
    <w:rsid w:val="005A1AE7"/>
    <w:rsid w:val="005A1DFD"/>
    <w:rsid w:val="005A1EBB"/>
    <w:rsid w:val="005A2983"/>
    <w:rsid w:val="005A29FB"/>
    <w:rsid w:val="005A2A96"/>
    <w:rsid w:val="005A2D73"/>
    <w:rsid w:val="005A330D"/>
    <w:rsid w:val="005A363D"/>
    <w:rsid w:val="005A3B05"/>
    <w:rsid w:val="005A40AA"/>
    <w:rsid w:val="005A4664"/>
    <w:rsid w:val="005A4C4E"/>
    <w:rsid w:val="005A513D"/>
    <w:rsid w:val="005A5204"/>
    <w:rsid w:val="005A57BC"/>
    <w:rsid w:val="005A5BA5"/>
    <w:rsid w:val="005A5E63"/>
    <w:rsid w:val="005A5FD4"/>
    <w:rsid w:val="005A7292"/>
    <w:rsid w:val="005A7478"/>
    <w:rsid w:val="005A790B"/>
    <w:rsid w:val="005A7D5B"/>
    <w:rsid w:val="005B01D5"/>
    <w:rsid w:val="005B07F5"/>
    <w:rsid w:val="005B0D26"/>
    <w:rsid w:val="005B1306"/>
    <w:rsid w:val="005B15E6"/>
    <w:rsid w:val="005B1CC5"/>
    <w:rsid w:val="005B1EB9"/>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4D78"/>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E9"/>
    <w:rsid w:val="005C372E"/>
    <w:rsid w:val="005C3B8C"/>
    <w:rsid w:val="005C3E34"/>
    <w:rsid w:val="005C4259"/>
    <w:rsid w:val="005C43BB"/>
    <w:rsid w:val="005C4E06"/>
    <w:rsid w:val="005C533A"/>
    <w:rsid w:val="005C5684"/>
    <w:rsid w:val="005C5C16"/>
    <w:rsid w:val="005C5CE1"/>
    <w:rsid w:val="005C5F39"/>
    <w:rsid w:val="005C62FF"/>
    <w:rsid w:val="005C641B"/>
    <w:rsid w:val="005C65BA"/>
    <w:rsid w:val="005C68DE"/>
    <w:rsid w:val="005C69DF"/>
    <w:rsid w:val="005C6A8A"/>
    <w:rsid w:val="005C6CF9"/>
    <w:rsid w:val="005C718E"/>
    <w:rsid w:val="005C7B7C"/>
    <w:rsid w:val="005C7C4F"/>
    <w:rsid w:val="005C7CA4"/>
    <w:rsid w:val="005D0A64"/>
    <w:rsid w:val="005D0B0A"/>
    <w:rsid w:val="005D0BAF"/>
    <w:rsid w:val="005D0BE6"/>
    <w:rsid w:val="005D1198"/>
    <w:rsid w:val="005D12FC"/>
    <w:rsid w:val="005D1876"/>
    <w:rsid w:val="005D18C7"/>
    <w:rsid w:val="005D19C9"/>
    <w:rsid w:val="005D237D"/>
    <w:rsid w:val="005D308D"/>
    <w:rsid w:val="005D35BE"/>
    <w:rsid w:val="005D38E6"/>
    <w:rsid w:val="005D40DC"/>
    <w:rsid w:val="005D46D3"/>
    <w:rsid w:val="005D5154"/>
    <w:rsid w:val="005D5353"/>
    <w:rsid w:val="005D538B"/>
    <w:rsid w:val="005D5477"/>
    <w:rsid w:val="005D5BAC"/>
    <w:rsid w:val="005D5C72"/>
    <w:rsid w:val="005D5DBD"/>
    <w:rsid w:val="005D5E98"/>
    <w:rsid w:val="005D5F0B"/>
    <w:rsid w:val="005D6BE2"/>
    <w:rsid w:val="005D6D1C"/>
    <w:rsid w:val="005D6DDA"/>
    <w:rsid w:val="005D72A7"/>
    <w:rsid w:val="005D75C2"/>
    <w:rsid w:val="005E05E5"/>
    <w:rsid w:val="005E065C"/>
    <w:rsid w:val="005E0A23"/>
    <w:rsid w:val="005E0C53"/>
    <w:rsid w:val="005E118B"/>
    <w:rsid w:val="005E1721"/>
    <w:rsid w:val="005E1FD9"/>
    <w:rsid w:val="005E2060"/>
    <w:rsid w:val="005E245A"/>
    <w:rsid w:val="005E25A5"/>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E31"/>
    <w:rsid w:val="005E5F52"/>
    <w:rsid w:val="005E6311"/>
    <w:rsid w:val="005E65D7"/>
    <w:rsid w:val="005E677E"/>
    <w:rsid w:val="005E67ED"/>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0D5"/>
    <w:rsid w:val="005F4211"/>
    <w:rsid w:val="005F4382"/>
    <w:rsid w:val="005F46E7"/>
    <w:rsid w:val="005F4775"/>
    <w:rsid w:val="005F4ED7"/>
    <w:rsid w:val="005F512C"/>
    <w:rsid w:val="005F5152"/>
    <w:rsid w:val="005F5A56"/>
    <w:rsid w:val="005F60DE"/>
    <w:rsid w:val="005F6D95"/>
    <w:rsid w:val="005F70BD"/>
    <w:rsid w:val="005F738C"/>
    <w:rsid w:val="005F7850"/>
    <w:rsid w:val="005F7A86"/>
    <w:rsid w:val="00600C45"/>
    <w:rsid w:val="00600FAB"/>
    <w:rsid w:val="00601370"/>
    <w:rsid w:val="0060146C"/>
    <w:rsid w:val="00601524"/>
    <w:rsid w:val="00601701"/>
    <w:rsid w:val="00601AC7"/>
    <w:rsid w:val="00601B9A"/>
    <w:rsid w:val="006020C5"/>
    <w:rsid w:val="006026B1"/>
    <w:rsid w:val="00603097"/>
    <w:rsid w:val="00603342"/>
    <w:rsid w:val="00603A0D"/>
    <w:rsid w:val="006042A2"/>
    <w:rsid w:val="00604A86"/>
    <w:rsid w:val="00604A88"/>
    <w:rsid w:val="00604BC2"/>
    <w:rsid w:val="00604ED1"/>
    <w:rsid w:val="006050FC"/>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272"/>
    <w:rsid w:val="00614306"/>
    <w:rsid w:val="0061451E"/>
    <w:rsid w:val="006148DB"/>
    <w:rsid w:val="00614D15"/>
    <w:rsid w:val="0061565F"/>
    <w:rsid w:val="006157E3"/>
    <w:rsid w:val="0061590B"/>
    <w:rsid w:val="00615A65"/>
    <w:rsid w:val="0061606D"/>
    <w:rsid w:val="0061630A"/>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A7A"/>
    <w:rsid w:val="00623FD1"/>
    <w:rsid w:val="00623FD3"/>
    <w:rsid w:val="00623FEB"/>
    <w:rsid w:val="00624223"/>
    <w:rsid w:val="00624674"/>
    <w:rsid w:val="00624A5B"/>
    <w:rsid w:val="00624B08"/>
    <w:rsid w:val="00624DDB"/>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3D4A"/>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5C4"/>
    <w:rsid w:val="00640703"/>
    <w:rsid w:val="00641036"/>
    <w:rsid w:val="006410D4"/>
    <w:rsid w:val="00641101"/>
    <w:rsid w:val="00641359"/>
    <w:rsid w:val="00641365"/>
    <w:rsid w:val="00641370"/>
    <w:rsid w:val="0064157F"/>
    <w:rsid w:val="00642172"/>
    <w:rsid w:val="00642400"/>
    <w:rsid w:val="0064255E"/>
    <w:rsid w:val="006426C8"/>
    <w:rsid w:val="00642AAF"/>
    <w:rsid w:val="006433C5"/>
    <w:rsid w:val="00643CF6"/>
    <w:rsid w:val="00643D2E"/>
    <w:rsid w:val="00643DE1"/>
    <w:rsid w:val="00643DE6"/>
    <w:rsid w:val="00644415"/>
    <w:rsid w:val="006444B8"/>
    <w:rsid w:val="006449F9"/>
    <w:rsid w:val="00644A55"/>
    <w:rsid w:val="006453F7"/>
    <w:rsid w:val="00645C58"/>
    <w:rsid w:val="006463A6"/>
    <w:rsid w:val="006469C9"/>
    <w:rsid w:val="00646A43"/>
    <w:rsid w:val="006470AB"/>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3F64"/>
    <w:rsid w:val="006541A2"/>
    <w:rsid w:val="006542CC"/>
    <w:rsid w:val="0065484F"/>
    <w:rsid w:val="00654FCF"/>
    <w:rsid w:val="006551C2"/>
    <w:rsid w:val="00655236"/>
    <w:rsid w:val="006553C9"/>
    <w:rsid w:val="006553FD"/>
    <w:rsid w:val="006556B5"/>
    <w:rsid w:val="00655ABE"/>
    <w:rsid w:val="00655DB3"/>
    <w:rsid w:val="0065621A"/>
    <w:rsid w:val="00656229"/>
    <w:rsid w:val="0065639B"/>
    <w:rsid w:val="00656AFC"/>
    <w:rsid w:val="0065780D"/>
    <w:rsid w:val="00657EA9"/>
    <w:rsid w:val="0066003A"/>
    <w:rsid w:val="00660235"/>
    <w:rsid w:val="00660486"/>
    <w:rsid w:val="00660638"/>
    <w:rsid w:val="0066085A"/>
    <w:rsid w:val="00660984"/>
    <w:rsid w:val="00660B6E"/>
    <w:rsid w:val="00660BA0"/>
    <w:rsid w:val="00660F9F"/>
    <w:rsid w:val="006610DD"/>
    <w:rsid w:val="006610FD"/>
    <w:rsid w:val="00661116"/>
    <w:rsid w:val="00661382"/>
    <w:rsid w:val="00661757"/>
    <w:rsid w:val="00661E41"/>
    <w:rsid w:val="00661E8B"/>
    <w:rsid w:val="006621DB"/>
    <w:rsid w:val="00662413"/>
    <w:rsid w:val="006624FE"/>
    <w:rsid w:val="006626D8"/>
    <w:rsid w:val="00662956"/>
    <w:rsid w:val="00662DB1"/>
    <w:rsid w:val="00663060"/>
    <w:rsid w:val="00663F4C"/>
    <w:rsid w:val="006640D6"/>
    <w:rsid w:val="00664290"/>
    <w:rsid w:val="0066433F"/>
    <w:rsid w:val="00664568"/>
    <w:rsid w:val="00664ECC"/>
    <w:rsid w:val="00664FA3"/>
    <w:rsid w:val="00665EF8"/>
    <w:rsid w:val="006669DD"/>
    <w:rsid w:val="00666AA0"/>
    <w:rsid w:val="00666D62"/>
    <w:rsid w:val="00667241"/>
    <w:rsid w:val="0066737A"/>
    <w:rsid w:val="006674F2"/>
    <w:rsid w:val="0066759A"/>
    <w:rsid w:val="00667ABD"/>
    <w:rsid w:val="00667B38"/>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39F8"/>
    <w:rsid w:val="00673D1F"/>
    <w:rsid w:val="00674286"/>
    <w:rsid w:val="006742E0"/>
    <w:rsid w:val="006744B2"/>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868"/>
    <w:rsid w:val="00681EFF"/>
    <w:rsid w:val="00681FDC"/>
    <w:rsid w:val="00682379"/>
    <w:rsid w:val="006823CB"/>
    <w:rsid w:val="0068277C"/>
    <w:rsid w:val="0068315B"/>
    <w:rsid w:val="00683AFE"/>
    <w:rsid w:val="0068459B"/>
    <w:rsid w:val="00684AA0"/>
    <w:rsid w:val="00684AA6"/>
    <w:rsid w:val="00685230"/>
    <w:rsid w:val="00685579"/>
    <w:rsid w:val="00686142"/>
    <w:rsid w:val="0068673B"/>
    <w:rsid w:val="006867D4"/>
    <w:rsid w:val="00686A77"/>
    <w:rsid w:val="00686ABA"/>
    <w:rsid w:val="00686DB5"/>
    <w:rsid w:val="00686E60"/>
    <w:rsid w:val="0068758F"/>
    <w:rsid w:val="00687C45"/>
    <w:rsid w:val="00687F0E"/>
    <w:rsid w:val="00690572"/>
    <w:rsid w:val="00690B4E"/>
    <w:rsid w:val="00691604"/>
    <w:rsid w:val="0069175D"/>
    <w:rsid w:val="006919C6"/>
    <w:rsid w:val="00691AE3"/>
    <w:rsid w:val="00691C7A"/>
    <w:rsid w:val="00691EA4"/>
    <w:rsid w:val="00692815"/>
    <w:rsid w:val="006928E4"/>
    <w:rsid w:val="00692B34"/>
    <w:rsid w:val="00692B55"/>
    <w:rsid w:val="006938EE"/>
    <w:rsid w:val="006944AF"/>
    <w:rsid w:val="006946EC"/>
    <w:rsid w:val="00694A4D"/>
    <w:rsid w:val="00695517"/>
    <w:rsid w:val="0069561E"/>
    <w:rsid w:val="00695BA6"/>
    <w:rsid w:val="006962D6"/>
    <w:rsid w:val="00696A5D"/>
    <w:rsid w:val="00696B8E"/>
    <w:rsid w:val="00696EE3"/>
    <w:rsid w:val="00696F13"/>
    <w:rsid w:val="0069714C"/>
    <w:rsid w:val="00697301"/>
    <w:rsid w:val="0069767A"/>
    <w:rsid w:val="00697817"/>
    <w:rsid w:val="00697CAD"/>
    <w:rsid w:val="006A0136"/>
    <w:rsid w:val="006A01B6"/>
    <w:rsid w:val="006A0759"/>
    <w:rsid w:val="006A0F57"/>
    <w:rsid w:val="006A1094"/>
    <w:rsid w:val="006A114B"/>
    <w:rsid w:val="006A1467"/>
    <w:rsid w:val="006A14DF"/>
    <w:rsid w:val="006A171E"/>
    <w:rsid w:val="006A1DE2"/>
    <w:rsid w:val="006A2A71"/>
    <w:rsid w:val="006A3080"/>
    <w:rsid w:val="006A3210"/>
    <w:rsid w:val="006A3495"/>
    <w:rsid w:val="006A35F0"/>
    <w:rsid w:val="006A3C3A"/>
    <w:rsid w:val="006A3C41"/>
    <w:rsid w:val="006A3F7D"/>
    <w:rsid w:val="006A411F"/>
    <w:rsid w:val="006A4166"/>
    <w:rsid w:val="006A4207"/>
    <w:rsid w:val="006A4414"/>
    <w:rsid w:val="006A5035"/>
    <w:rsid w:val="006A50ED"/>
    <w:rsid w:val="006A521F"/>
    <w:rsid w:val="006A5251"/>
    <w:rsid w:val="006A52E1"/>
    <w:rsid w:val="006A53EA"/>
    <w:rsid w:val="006A5521"/>
    <w:rsid w:val="006A5964"/>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556"/>
    <w:rsid w:val="006B360F"/>
    <w:rsid w:val="006B3EC2"/>
    <w:rsid w:val="006B426F"/>
    <w:rsid w:val="006B4D7E"/>
    <w:rsid w:val="006B504C"/>
    <w:rsid w:val="006B5475"/>
    <w:rsid w:val="006B56D5"/>
    <w:rsid w:val="006B61AF"/>
    <w:rsid w:val="006B6CBA"/>
    <w:rsid w:val="006B6F20"/>
    <w:rsid w:val="006B7387"/>
    <w:rsid w:val="006B787F"/>
    <w:rsid w:val="006B7D96"/>
    <w:rsid w:val="006C008E"/>
    <w:rsid w:val="006C00A1"/>
    <w:rsid w:val="006C0204"/>
    <w:rsid w:val="006C05AE"/>
    <w:rsid w:val="006C0831"/>
    <w:rsid w:val="006C09AD"/>
    <w:rsid w:val="006C0FE6"/>
    <w:rsid w:val="006C171E"/>
    <w:rsid w:val="006C17A4"/>
    <w:rsid w:val="006C1D6C"/>
    <w:rsid w:val="006C1D84"/>
    <w:rsid w:val="006C235F"/>
    <w:rsid w:val="006C2790"/>
    <w:rsid w:val="006C2802"/>
    <w:rsid w:val="006C2867"/>
    <w:rsid w:val="006C28EC"/>
    <w:rsid w:val="006C4489"/>
    <w:rsid w:val="006C47AC"/>
    <w:rsid w:val="006C48A6"/>
    <w:rsid w:val="006C49E0"/>
    <w:rsid w:val="006C4A33"/>
    <w:rsid w:val="006C4B68"/>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9E4"/>
    <w:rsid w:val="006C7C00"/>
    <w:rsid w:val="006C7C27"/>
    <w:rsid w:val="006C7CCD"/>
    <w:rsid w:val="006D01DC"/>
    <w:rsid w:val="006D0306"/>
    <w:rsid w:val="006D03AD"/>
    <w:rsid w:val="006D0518"/>
    <w:rsid w:val="006D062A"/>
    <w:rsid w:val="006D088B"/>
    <w:rsid w:val="006D09A6"/>
    <w:rsid w:val="006D0E4B"/>
    <w:rsid w:val="006D12EE"/>
    <w:rsid w:val="006D178C"/>
    <w:rsid w:val="006D1B10"/>
    <w:rsid w:val="006D1E58"/>
    <w:rsid w:val="006D28B4"/>
    <w:rsid w:val="006D2A64"/>
    <w:rsid w:val="006D2C7B"/>
    <w:rsid w:val="006D2DA6"/>
    <w:rsid w:val="006D2EFC"/>
    <w:rsid w:val="006D2FDC"/>
    <w:rsid w:val="006D30F1"/>
    <w:rsid w:val="006D3858"/>
    <w:rsid w:val="006D3A9C"/>
    <w:rsid w:val="006D3C6F"/>
    <w:rsid w:val="006D45A3"/>
    <w:rsid w:val="006D499D"/>
    <w:rsid w:val="006D4E2A"/>
    <w:rsid w:val="006D50D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E0153"/>
    <w:rsid w:val="006E01D7"/>
    <w:rsid w:val="006E0582"/>
    <w:rsid w:val="006E0803"/>
    <w:rsid w:val="006E0881"/>
    <w:rsid w:val="006E0EF8"/>
    <w:rsid w:val="006E1061"/>
    <w:rsid w:val="006E11ED"/>
    <w:rsid w:val="006E16EB"/>
    <w:rsid w:val="006E26BF"/>
    <w:rsid w:val="006E366C"/>
    <w:rsid w:val="006E3D22"/>
    <w:rsid w:val="006E3DFB"/>
    <w:rsid w:val="006E3E6D"/>
    <w:rsid w:val="006E3EA5"/>
    <w:rsid w:val="006E3F65"/>
    <w:rsid w:val="006E4416"/>
    <w:rsid w:val="006E44C5"/>
    <w:rsid w:val="006E47C6"/>
    <w:rsid w:val="006E4AF8"/>
    <w:rsid w:val="006E4EA4"/>
    <w:rsid w:val="006E51B5"/>
    <w:rsid w:val="006E589B"/>
    <w:rsid w:val="006E60F1"/>
    <w:rsid w:val="006E645E"/>
    <w:rsid w:val="006E647C"/>
    <w:rsid w:val="006E6999"/>
    <w:rsid w:val="006E6F61"/>
    <w:rsid w:val="006E6F8E"/>
    <w:rsid w:val="006E771F"/>
    <w:rsid w:val="006E79B7"/>
    <w:rsid w:val="006E7BBB"/>
    <w:rsid w:val="006E7D41"/>
    <w:rsid w:val="006F02B7"/>
    <w:rsid w:val="006F0492"/>
    <w:rsid w:val="006F07FC"/>
    <w:rsid w:val="006F096B"/>
    <w:rsid w:val="006F1884"/>
    <w:rsid w:val="006F1984"/>
    <w:rsid w:val="006F1A0E"/>
    <w:rsid w:val="006F1E80"/>
    <w:rsid w:val="006F2468"/>
    <w:rsid w:val="006F25D0"/>
    <w:rsid w:val="006F2D41"/>
    <w:rsid w:val="006F2DAB"/>
    <w:rsid w:val="006F2DFA"/>
    <w:rsid w:val="006F2F58"/>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321"/>
    <w:rsid w:val="007035BD"/>
    <w:rsid w:val="0070385C"/>
    <w:rsid w:val="00703AA2"/>
    <w:rsid w:val="00704328"/>
    <w:rsid w:val="00704DB9"/>
    <w:rsid w:val="00704DE4"/>
    <w:rsid w:val="007050B0"/>
    <w:rsid w:val="00705429"/>
    <w:rsid w:val="007059C8"/>
    <w:rsid w:val="0070643D"/>
    <w:rsid w:val="007067BB"/>
    <w:rsid w:val="00706ADC"/>
    <w:rsid w:val="00707D37"/>
    <w:rsid w:val="00707E70"/>
    <w:rsid w:val="00710296"/>
    <w:rsid w:val="00710E4A"/>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1CB"/>
    <w:rsid w:val="0071624E"/>
    <w:rsid w:val="00716B03"/>
    <w:rsid w:val="00716B4F"/>
    <w:rsid w:val="007170DD"/>
    <w:rsid w:val="007173F4"/>
    <w:rsid w:val="00717414"/>
    <w:rsid w:val="00717447"/>
    <w:rsid w:val="0071787E"/>
    <w:rsid w:val="0072069C"/>
    <w:rsid w:val="00720725"/>
    <w:rsid w:val="00720888"/>
    <w:rsid w:val="00721BA6"/>
    <w:rsid w:val="00722048"/>
    <w:rsid w:val="007221A2"/>
    <w:rsid w:val="00722290"/>
    <w:rsid w:val="0072244E"/>
    <w:rsid w:val="00722855"/>
    <w:rsid w:val="00722F51"/>
    <w:rsid w:val="0072314F"/>
    <w:rsid w:val="0072349A"/>
    <w:rsid w:val="007239F5"/>
    <w:rsid w:val="00723C1D"/>
    <w:rsid w:val="00724B02"/>
    <w:rsid w:val="00724F21"/>
    <w:rsid w:val="0072512D"/>
    <w:rsid w:val="00725717"/>
    <w:rsid w:val="00725A36"/>
    <w:rsid w:val="00725B3A"/>
    <w:rsid w:val="00725CF6"/>
    <w:rsid w:val="00726A40"/>
    <w:rsid w:val="00726DAF"/>
    <w:rsid w:val="00726F88"/>
    <w:rsid w:val="00726FEA"/>
    <w:rsid w:val="007277EE"/>
    <w:rsid w:val="00727902"/>
    <w:rsid w:val="00727A4D"/>
    <w:rsid w:val="00727AEA"/>
    <w:rsid w:val="00727FA5"/>
    <w:rsid w:val="0073006E"/>
    <w:rsid w:val="0073012E"/>
    <w:rsid w:val="007308C6"/>
    <w:rsid w:val="007315EB"/>
    <w:rsid w:val="007319D8"/>
    <w:rsid w:val="00731FEB"/>
    <w:rsid w:val="00731FEE"/>
    <w:rsid w:val="007324F6"/>
    <w:rsid w:val="007327C6"/>
    <w:rsid w:val="00732A62"/>
    <w:rsid w:val="00732DC1"/>
    <w:rsid w:val="00732E82"/>
    <w:rsid w:val="007333C7"/>
    <w:rsid w:val="007336EB"/>
    <w:rsid w:val="00733C82"/>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D1F"/>
    <w:rsid w:val="00745EE5"/>
    <w:rsid w:val="0074638A"/>
    <w:rsid w:val="00747183"/>
    <w:rsid w:val="007477CA"/>
    <w:rsid w:val="00750021"/>
    <w:rsid w:val="007509AB"/>
    <w:rsid w:val="007510A7"/>
    <w:rsid w:val="00751216"/>
    <w:rsid w:val="0075135E"/>
    <w:rsid w:val="00751A20"/>
    <w:rsid w:val="00751B1B"/>
    <w:rsid w:val="00751FA1"/>
    <w:rsid w:val="00752128"/>
    <w:rsid w:val="0075224B"/>
    <w:rsid w:val="007523B8"/>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27E"/>
    <w:rsid w:val="0075636E"/>
    <w:rsid w:val="007565FC"/>
    <w:rsid w:val="00756F85"/>
    <w:rsid w:val="0075743E"/>
    <w:rsid w:val="0075772C"/>
    <w:rsid w:val="00757892"/>
    <w:rsid w:val="00760100"/>
    <w:rsid w:val="007601C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4F4"/>
    <w:rsid w:val="00766995"/>
    <w:rsid w:val="00767466"/>
    <w:rsid w:val="00767670"/>
    <w:rsid w:val="0076777A"/>
    <w:rsid w:val="007678D9"/>
    <w:rsid w:val="00767B5C"/>
    <w:rsid w:val="00767B5D"/>
    <w:rsid w:val="00767C30"/>
    <w:rsid w:val="00767C90"/>
    <w:rsid w:val="00767EA2"/>
    <w:rsid w:val="00767ECF"/>
    <w:rsid w:val="007701B9"/>
    <w:rsid w:val="007702C0"/>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C08"/>
    <w:rsid w:val="00773FC6"/>
    <w:rsid w:val="007743EB"/>
    <w:rsid w:val="0077456D"/>
    <w:rsid w:val="00774796"/>
    <w:rsid w:val="0077539F"/>
    <w:rsid w:val="007757AE"/>
    <w:rsid w:val="0077598C"/>
    <w:rsid w:val="00775E58"/>
    <w:rsid w:val="0077602A"/>
    <w:rsid w:val="00776070"/>
    <w:rsid w:val="00776346"/>
    <w:rsid w:val="007763C8"/>
    <w:rsid w:val="00776476"/>
    <w:rsid w:val="0077652A"/>
    <w:rsid w:val="0077684E"/>
    <w:rsid w:val="007768E7"/>
    <w:rsid w:val="00776CE8"/>
    <w:rsid w:val="00777192"/>
    <w:rsid w:val="007779AF"/>
    <w:rsid w:val="00777A04"/>
    <w:rsid w:val="00777BE3"/>
    <w:rsid w:val="00777DF8"/>
    <w:rsid w:val="00780412"/>
    <w:rsid w:val="007805AC"/>
    <w:rsid w:val="007805CF"/>
    <w:rsid w:val="0078080B"/>
    <w:rsid w:val="00780AEA"/>
    <w:rsid w:val="00780DA6"/>
    <w:rsid w:val="00780F5E"/>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1D"/>
    <w:rsid w:val="00784655"/>
    <w:rsid w:val="00784ABF"/>
    <w:rsid w:val="0078522E"/>
    <w:rsid w:val="00785444"/>
    <w:rsid w:val="00785E13"/>
    <w:rsid w:val="00785E42"/>
    <w:rsid w:val="00786A41"/>
    <w:rsid w:val="00786D61"/>
    <w:rsid w:val="00786FC8"/>
    <w:rsid w:val="00787241"/>
    <w:rsid w:val="00787760"/>
    <w:rsid w:val="007877A6"/>
    <w:rsid w:val="00787D2D"/>
    <w:rsid w:val="007902D4"/>
    <w:rsid w:val="0079090C"/>
    <w:rsid w:val="007909C8"/>
    <w:rsid w:val="00790D48"/>
    <w:rsid w:val="0079127F"/>
    <w:rsid w:val="00791775"/>
    <w:rsid w:val="00791CD9"/>
    <w:rsid w:val="00792190"/>
    <w:rsid w:val="007925A9"/>
    <w:rsid w:val="007925EE"/>
    <w:rsid w:val="00792AC0"/>
    <w:rsid w:val="00792BB5"/>
    <w:rsid w:val="00793410"/>
    <w:rsid w:val="007936F1"/>
    <w:rsid w:val="0079382D"/>
    <w:rsid w:val="00793F01"/>
    <w:rsid w:val="007942B9"/>
    <w:rsid w:val="007951FF"/>
    <w:rsid w:val="00795315"/>
    <w:rsid w:val="007961A4"/>
    <w:rsid w:val="00796918"/>
    <w:rsid w:val="007969C5"/>
    <w:rsid w:val="00796B79"/>
    <w:rsid w:val="00796B7F"/>
    <w:rsid w:val="00796CAA"/>
    <w:rsid w:val="00796DBB"/>
    <w:rsid w:val="00796FA6"/>
    <w:rsid w:val="00797660"/>
    <w:rsid w:val="00797991"/>
    <w:rsid w:val="00797DA2"/>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730"/>
    <w:rsid w:val="007A2A43"/>
    <w:rsid w:val="007A2AE4"/>
    <w:rsid w:val="007A3000"/>
    <w:rsid w:val="007A30A8"/>
    <w:rsid w:val="007A37B1"/>
    <w:rsid w:val="007A3F47"/>
    <w:rsid w:val="007A3F4B"/>
    <w:rsid w:val="007A4296"/>
    <w:rsid w:val="007A4A38"/>
    <w:rsid w:val="007A4B86"/>
    <w:rsid w:val="007A5868"/>
    <w:rsid w:val="007A6960"/>
    <w:rsid w:val="007A6FEB"/>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2FB6"/>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7B"/>
    <w:rsid w:val="007C5ACB"/>
    <w:rsid w:val="007C5CAC"/>
    <w:rsid w:val="007C5DBE"/>
    <w:rsid w:val="007C6085"/>
    <w:rsid w:val="007C62C0"/>
    <w:rsid w:val="007C633E"/>
    <w:rsid w:val="007C63CB"/>
    <w:rsid w:val="007C680D"/>
    <w:rsid w:val="007C6D56"/>
    <w:rsid w:val="007C7CB9"/>
    <w:rsid w:val="007D04C9"/>
    <w:rsid w:val="007D05EF"/>
    <w:rsid w:val="007D0749"/>
    <w:rsid w:val="007D0B47"/>
    <w:rsid w:val="007D1847"/>
    <w:rsid w:val="007D228B"/>
    <w:rsid w:val="007D2467"/>
    <w:rsid w:val="007D29AA"/>
    <w:rsid w:val="007D32C2"/>
    <w:rsid w:val="007D379D"/>
    <w:rsid w:val="007D50F0"/>
    <w:rsid w:val="007D5153"/>
    <w:rsid w:val="007D5E44"/>
    <w:rsid w:val="007D629D"/>
    <w:rsid w:val="007D6651"/>
    <w:rsid w:val="007D69F9"/>
    <w:rsid w:val="007D77BD"/>
    <w:rsid w:val="007D7DFA"/>
    <w:rsid w:val="007E00FE"/>
    <w:rsid w:val="007E0642"/>
    <w:rsid w:val="007E079E"/>
    <w:rsid w:val="007E0A3C"/>
    <w:rsid w:val="007E0A7D"/>
    <w:rsid w:val="007E0D73"/>
    <w:rsid w:val="007E0E74"/>
    <w:rsid w:val="007E196F"/>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08"/>
    <w:rsid w:val="007E55B2"/>
    <w:rsid w:val="007E5DF9"/>
    <w:rsid w:val="007E707F"/>
    <w:rsid w:val="007E72A4"/>
    <w:rsid w:val="007E7342"/>
    <w:rsid w:val="007E735A"/>
    <w:rsid w:val="007E74B3"/>
    <w:rsid w:val="007E74F1"/>
    <w:rsid w:val="007E791F"/>
    <w:rsid w:val="007E79BA"/>
    <w:rsid w:val="007E7B40"/>
    <w:rsid w:val="007E7B47"/>
    <w:rsid w:val="007E7DE6"/>
    <w:rsid w:val="007E7DF7"/>
    <w:rsid w:val="007F063F"/>
    <w:rsid w:val="007F0752"/>
    <w:rsid w:val="007F0949"/>
    <w:rsid w:val="007F099A"/>
    <w:rsid w:val="007F0DD2"/>
    <w:rsid w:val="007F108A"/>
    <w:rsid w:val="007F1198"/>
    <w:rsid w:val="007F132F"/>
    <w:rsid w:val="007F241F"/>
    <w:rsid w:val="007F30FF"/>
    <w:rsid w:val="007F32F4"/>
    <w:rsid w:val="007F33BD"/>
    <w:rsid w:val="007F37E6"/>
    <w:rsid w:val="007F3A67"/>
    <w:rsid w:val="007F3C40"/>
    <w:rsid w:val="007F42F0"/>
    <w:rsid w:val="007F432C"/>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823"/>
    <w:rsid w:val="00804B67"/>
    <w:rsid w:val="00804C80"/>
    <w:rsid w:val="00804EC5"/>
    <w:rsid w:val="008050B0"/>
    <w:rsid w:val="00805106"/>
    <w:rsid w:val="008054CA"/>
    <w:rsid w:val="00805521"/>
    <w:rsid w:val="00805685"/>
    <w:rsid w:val="00805A30"/>
    <w:rsid w:val="00805F02"/>
    <w:rsid w:val="008061B2"/>
    <w:rsid w:val="00806770"/>
    <w:rsid w:val="0080684B"/>
    <w:rsid w:val="00806A41"/>
    <w:rsid w:val="0080771F"/>
    <w:rsid w:val="00807F57"/>
    <w:rsid w:val="00810177"/>
    <w:rsid w:val="00810931"/>
    <w:rsid w:val="00810A7D"/>
    <w:rsid w:val="008110DF"/>
    <w:rsid w:val="0081130A"/>
    <w:rsid w:val="00811424"/>
    <w:rsid w:val="008118A8"/>
    <w:rsid w:val="00811D86"/>
    <w:rsid w:val="00811F1E"/>
    <w:rsid w:val="00812279"/>
    <w:rsid w:val="0081232A"/>
    <w:rsid w:val="008124D0"/>
    <w:rsid w:val="0081275A"/>
    <w:rsid w:val="00812AB2"/>
    <w:rsid w:val="00812B07"/>
    <w:rsid w:val="00812E92"/>
    <w:rsid w:val="00812EB8"/>
    <w:rsid w:val="008130A7"/>
    <w:rsid w:val="0081323D"/>
    <w:rsid w:val="008132BC"/>
    <w:rsid w:val="00813496"/>
    <w:rsid w:val="00813731"/>
    <w:rsid w:val="008137DB"/>
    <w:rsid w:val="00813D08"/>
    <w:rsid w:val="008140DB"/>
    <w:rsid w:val="00814516"/>
    <w:rsid w:val="008148B8"/>
    <w:rsid w:val="00814B10"/>
    <w:rsid w:val="00814F00"/>
    <w:rsid w:val="00815088"/>
    <w:rsid w:val="008153BE"/>
    <w:rsid w:val="008153F4"/>
    <w:rsid w:val="008163EF"/>
    <w:rsid w:val="008165E4"/>
    <w:rsid w:val="0081664D"/>
    <w:rsid w:val="00816B7D"/>
    <w:rsid w:val="00816C98"/>
    <w:rsid w:val="00816D02"/>
    <w:rsid w:val="00816EC3"/>
    <w:rsid w:val="00817588"/>
    <w:rsid w:val="00817C92"/>
    <w:rsid w:val="00817D5B"/>
    <w:rsid w:val="008202A8"/>
    <w:rsid w:val="00820D25"/>
    <w:rsid w:val="00820E02"/>
    <w:rsid w:val="008214E8"/>
    <w:rsid w:val="00821E29"/>
    <w:rsid w:val="0082263E"/>
    <w:rsid w:val="00822D6F"/>
    <w:rsid w:val="0082309E"/>
    <w:rsid w:val="008239CC"/>
    <w:rsid w:val="00823C93"/>
    <w:rsid w:val="00823D37"/>
    <w:rsid w:val="00823D5F"/>
    <w:rsid w:val="008241A5"/>
    <w:rsid w:val="008241BC"/>
    <w:rsid w:val="00824433"/>
    <w:rsid w:val="00824AA5"/>
    <w:rsid w:val="00824CC5"/>
    <w:rsid w:val="00824F5C"/>
    <w:rsid w:val="00825352"/>
    <w:rsid w:val="0082563D"/>
    <w:rsid w:val="00825903"/>
    <w:rsid w:val="00826BD5"/>
    <w:rsid w:val="008271E2"/>
    <w:rsid w:val="00827370"/>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720"/>
    <w:rsid w:val="008328B3"/>
    <w:rsid w:val="00832DB8"/>
    <w:rsid w:val="0083332B"/>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6802"/>
    <w:rsid w:val="008371B8"/>
    <w:rsid w:val="008371C5"/>
    <w:rsid w:val="008374B7"/>
    <w:rsid w:val="008378A1"/>
    <w:rsid w:val="008378F6"/>
    <w:rsid w:val="00840555"/>
    <w:rsid w:val="00840F19"/>
    <w:rsid w:val="00841418"/>
    <w:rsid w:val="0084144A"/>
    <w:rsid w:val="008422E5"/>
    <w:rsid w:val="00842762"/>
    <w:rsid w:val="008427D0"/>
    <w:rsid w:val="008427D6"/>
    <w:rsid w:val="00842964"/>
    <w:rsid w:val="00843354"/>
    <w:rsid w:val="008435BA"/>
    <w:rsid w:val="00843B45"/>
    <w:rsid w:val="00843CC0"/>
    <w:rsid w:val="0084403C"/>
    <w:rsid w:val="00844093"/>
    <w:rsid w:val="00844217"/>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B13"/>
    <w:rsid w:val="00852EBB"/>
    <w:rsid w:val="008530AD"/>
    <w:rsid w:val="008537FB"/>
    <w:rsid w:val="00853B53"/>
    <w:rsid w:val="00854898"/>
    <w:rsid w:val="00854E3F"/>
    <w:rsid w:val="00855B72"/>
    <w:rsid w:val="00855CBB"/>
    <w:rsid w:val="008562F8"/>
    <w:rsid w:val="00856602"/>
    <w:rsid w:val="0085664B"/>
    <w:rsid w:val="008566ED"/>
    <w:rsid w:val="00856AE8"/>
    <w:rsid w:val="008572D0"/>
    <w:rsid w:val="008573AA"/>
    <w:rsid w:val="0085747B"/>
    <w:rsid w:val="008576C0"/>
    <w:rsid w:val="00857798"/>
    <w:rsid w:val="0085780E"/>
    <w:rsid w:val="00857B5F"/>
    <w:rsid w:val="00860100"/>
    <w:rsid w:val="00860461"/>
    <w:rsid w:val="00860617"/>
    <w:rsid w:val="00861C88"/>
    <w:rsid w:val="00861E90"/>
    <w:rsid w:val="00862859"/>
    <w:rsid w:val="00862882"/>
    <w:rsid w:val="008629AD"/>
    <w:rsid w:val="008629D3"/>
    <w:rsid w:val="00862C98"/>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779B5"/>
    <w:rsid w:val="00877AB1"/>
    <w:rsid w:val="008805EC"/>
    <w:rsid w:val="00880604"/>
    <w:rsid w:val="00880723"/>
    <w:rsid w:val="0088099A"/>
    <w:rsid w:val="00880BB0"/>
    <w:rsid w:val="00880CFF"/>
    <w:rsid w:val="00881179"/>
    <w:rsid w:val="008818A8"/>
    <w:rsid w:val="0088191E"/>
    <w:rsid w:val="00882451"/>
    <w:rsid w:val="00882FA8"/>
    <w:rsid w:val="00883EDC"/>
    <w:rsid w:val="00884028"/>
    <w:rsid w:val="008848F6"/>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82F"/>
    <w:rsid w:val="00891DA2"/>
    <w:rsid w:val="008920BB"/>
    <w:rsid w:val="00892165"/>
    <w:rsid w:val="00892266"/>
    <w:rsid w:val="00892B7A"/>
    <w:rsid w:val="00892E16"/>
    <w:rsid w:val="0089362B"/>
    <w:rsid w:val="0089369D"/>
    <w:rsid w:val="00893700"/>
    <w:rsid w:val="00893BA8"/>
    <w:rsid w:val="00893E03"/>
    <w:rsid w:val="00893E71"/>
    <w:rsid w:val="00893F65"/>
    <w:rsid w:val="00893FBA"/>
    <w:rsid w:val="00894247"/>
    <w:rsid w:val="008944D8"/>
    <w:rsid w:val="00894A46"/>
    <w:rsid w:val="00894D98"/>
    <w:rsid w:val="00895B27"/>
    <w:rsid w:val="00895E36"/>
    <w:rsid w:val="00896882"/>
    <w:rsid w:val="00896C23"/>
    <w:rsid w:val="0089757E"/>
    <w:rsid w:val="00897C5E"/>
    <w:rsid w:val="008A01E9"/>
    <w:rsid w:val="008A08D6"/>
    <w:rsid w:val="008A0E6B"/>
    <w:rsid w:val="008A0EB6"/>
    <w:rsid w:val="008A0F8F"/>
    <w:rsid w:val="008A1726"/>
    <w:rsid w:val="008A17BB"/>
    <w:rsid w:val="008A1F1F"/>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686"/>
    <w:rsid w:val="008A4D7A"/>
    <w:rsid w:val="008A557A"/>
    <w:rsid w:val="008A5590"/>
    <w:rsid w:val="008A57A5"/>
    <w:rsid w:val="008A5A32"/>
    <w:rsid w:val="008A5D3E"/>
    <w:rsid w:val="008A60E7"/>
    <w:rsid w:val="008A64DD"/>
    <w:rsid w:val="008A651D"/>
    <w:rsid w:val="008A656A"/>
    <w:rsid w:val="008A67D0"/>
    <w:rsid w:val="008A6940"/>
    <w:rsid w:val="008A7145"/>
    <w:rsid w:val="008A73B4"/>
    <w:rsid w:val="008A7768"/>
    <w:rsid w:val="008A79BC"/>
    <w:rsid w:val="008A7A49"/>
    <w:rsid w:val="008A7BD1"/>
    <w:rsid w:val="008B01E8"/>
    <w:rsid w:val="008B041F"/>
    <w:rsid w:val="008B048C"/>
    <w:rsid w:val="008B0BA2"/>
    <w:rsid w:val="008B0CBF"/>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45D"/>
    <w:rsid w:val="008B5A6D"/>
    <w:rsid w:val="008B5BDA"/>
    <w:rsid w:val="008B5ECF"/>
    <w:rsid w:val="008B6169"/>
    <w:rsid w:val="008B6323"/>
    <w:rsid w:val="008B66FA"/>
    <w:rsid w:val="008B6BBE"/>
    <w:rsid w:val="008B7050"/>
    <w:rsid w:val="008B7235"/>
    <w:rsid w:val="008B738A"/>
    <w:rsid w:val="008B73B5"/>
    <w:rsid w:val="008B74FB"/>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716"/>
    <w:rsid w:val="008C7930"/>
    <w:rsid w:val="008D02EB"/>
    <w:rsid w:val="008D047D"/>
    <w:rsid w:val="008D0E58"/>
    <w:rsid w:val="008D0EA0"/>
    <w:rsid w:val="008D0F79"/>
    <w:rsid w:val="008D1110"/>
    <w:rsid w:val="008D125D"/>
    <w:rsid w:val="008D19B3"/>
    <w:rsid w:val="008D2428"/>
    <w:rsid w:val="008D265A"/>
    <w:rsid w:val="008D2AEC"/>
    <w:rsid w:val="008D2BDB"/>
    <w:rsid w:val="008D315C"/>
    <w:rsid w:val="008D3215"/>
    <w:rsid w:val="008D3392"/>
    <w:rsid w:val="008D3B32"/>
    <w:rsid w:val="008D3E01"/>
    <w:rsid w:val="008D41F3"/>
    <w:rsid w:val="008D43B2"/>
    <w:rsid w:val="008D45D3"/>
    <w:rsid w:val="008D4709"/>
    <w:rsid w:val="008D4BDB"/>
    <w:rsid w:val="008D54C2"/>
    <w:rsid w:val="008D5678"/>
    <w:rsid w:val="008D5839"/>
    <w:rsid w:val="008D5AC7"/>
    <w:rsid w:val="008D5B4C"/>
    <w:rsid w:val="008D6239"/>
    <w:rsid w:val="008D64A2"/>
    <w:rsid w:val="008D6801"/>
    <w:rsid w:val="008D6F6B"/>
    <w:rsid w:val="008D71D1"/>
    <w:rsid w:val="008D7317"/>
    <w:rsid w:val="008D77F0"/>
    <w:rsid w:val="008E04DF"/>
    <w:rsid w:val="008E0600"/>
    <w:rsid w:val="008E0895"/>
    <w:rsid w:val="008E0BFD"/>
    <w:rsid w:val="008E114C"/>
    <w:rsid w:val="008E1834"/>
    <w:rsid w:val="008E25B5"/>
    <w:rsid w:val="008E2A4B"/>
    <w:rsid w:val="008E2DCA"/>
    <w:rsid w:val="008E2E27"/>
    <w:rsid w:val="008E33EA"/>
    <w:rsid w:val="008E3ADA"/>
    <w:rsid w:val="008E3C25"/>
    <w:rsid w:val="008E3EB6"/>
    <w:rsid w:val="008E4566"/>
    <w:rsid w:val="008E460A"/>
    <w:rsid w:val="008E47F8"/>
    <w:rsid w:val="008E49E5"/>
    <w:rsid w:val="008E4B82"/>
    <w:rsid w:val="008E4D46"/>
    <w:rsid w:val="008E548E"/>
    <w:rsid w:val="008E5756"/>
    <w:rsid w:val="008E5EF7"/>
    <w:rsid w:val="008E5F4F"/>
    <w:rsid w:val="008E6183"/>
    <w:rsid w:val="008E6B65"/>
    <w:rsid w:val="008F0294"/>
    <w:rsid w:val="008F040E"/>
    <w:rsid w:val="008F050B"/>
    <w:rsid w:val="008F0609"/>
    <w:rsid w:val="008F0E13"/>
    <w:rsid w:val="008F1186"/>
    <w:rsid w:val="008F140A"/>
    <w:rsid w:val="008F2061"/>
    <w:rsid w:val="008F2738"/>
    <w:rsid w:val="008F28B7"/>
    <w:rsid w:val="008F2BB7"/>
    <w:rsid w:val="008F3099"/>
    <w:rsid w:val="008F347C"/>
    <w:rsid w:val="008F3497"/>
    <w:rsid w:val="008F37CB"/>
    <w:rsid w:val="008F3B19"/>
    <w:rsid w:val="008F4686"/>
    <w:rsid w:val="008F485C"/>
    <w:rsid w:val="008F5398"/>
    <w:rsid w:val="008F54E8"/>
    <w:rsid w:val="008F55A4"/>
    <w:rsid w:val="008F58FC"/>
    <w:rsid w:val="008F5E23"/>
    <w:rsid w:val="008F6749"/>
    <w:rsid w:val="008F690B"/>
    <w:rsid w:val="008F6936"/>
    <w:rsid w:val="008F6E04"/>
    <w:rsid w:val="008F743A"/>
    <w:rsid w:val="008F7AD7"/>
    <w:rsid w:val="008F7B7C"/>
    <w:rsid w:val="008F7BFC"/>
    <w:rsid w:val="008F7F68"/>
    <w:rsid w:val="009006FA"/>
    <w:rsid w:val="00900789"/>
    <w:rsid w:val="0090082B"/>
    <w:rsid w:val="009009A8"/>
    <w:rsid w:val="00900EC5"/>
    <w:rsid w:val="00901CBF"/>
    <w:rsid w:val="00901F41"/>
    <w:rsid w:val="00902212"/>
    <w:rsid w:val="009023DA"/>
    <w:rsid w:val="0090288C"/>
    <w:rsid w:val="00902D7D"/>
    <w:rsid w:val="0090367B"/>
    <w:rsid w:val="009036B7"/>
    <w:rsid w:val="00903C24"/>
    <w:rsid w:val="00903D85"/>
    <w:rsid w:val="00903FF5"/>
    <w:rsid w:val="00904326"/>
    <w:rsid w:val="009045A0"/>
    <w:rsid w:val="009047DA"/>
    <w:rsid w:val="0090523A"/>
    <w:rsid w:val="0090567F"/>
    <w:rsid w:val="009059A1"/>
    <w:rsid w:val="00905AA5"/>
    <w:rsid w:val="00906402"/>
    <w:rsid w:val="009064A3"/>
    <w:rsid w:val="00906942"/>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99E"/>
    <w:rsid w:val="00916F82"/>
    <w:rsid w:val="00917209"/>
    <w:rsid w:val="0091752B"/>
    <w:rsid w:val="00917828"/>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57E"/>
    <w:rsid w:val="0093187B"/>
    <w:rsid w:val="00931C00"/>
    <w:rsid w:val="00932068"/>
    <w:rsid w:val="00932079"/>
    <w:rsid w:val="009321B0"/>
    <w:rsid w:val="009324AA"/>
    <w:rsid w:val="009325F5"/>
    <w:rsid w:val="00932622"/>
    <w:rsid w:val="009329A8"/>
    <w:rsid w:val="00932A97"/>
    <w:rsid w:val="009339D6"/>
    <w:rsid w:val="00933E13"/>
    <w:rsid w:val="00933EED"/>
    <w:rsid w:val="00934257"/>
    <w:rsid w:val="00934424"/>
    <w:rsid w:val="009347F3"/>
    <w:rsid w:val="00934EC0"/>
    <w:rsid w:val="009355A7"/>
    <w:rsid w:val="009360A8"/>
    <w:rsid w:val="00936502"/>
    <w:rsid w:val="00937294"/>
    <w:rsid w:val="009376A2"/>
    <w:rsid w:val="00937737"/>
    <w:rsid w:val="00937BD5"/>
    <w:rsid w:val="009406E4"/>
    <w:rsid w:val="009406E6"/>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071"/>
    <w:rsid w:val="00950149"/>
    <w:rsid w:val="009502EF"/>
    <w:rsid w:val="009503E1"/>
    <w:rsid w:val="009504D7"/>
    <w:rsid w:val="00950728"/>
    <w:rsid w:val="0095087F"/>
    <w:rsid w:val="00950EDA"/>
    <w:rsid w:val="009511E0"/>
    <w:rsid w:val="009511E1"/>
    <w:rsid w:val="0095185A"/>
    <w:rsid w:val="00951A91"/>
    <w:rsid w:val="00951F8D"/>
    <w:rsid w:val="0095226F"/>
    <w:rsid w:val="009522B0"/>
    <w:rsid w:val="0095247A"/>
    <w:rsid w:val="0095254C"/>
    <w:rsid w:val="009526AF"/>
    <w:rsid w:val="00952A87"/>
    <w:rsid w:val="0095308A"/>
    <w:rsid w:val="0095390B"/>
    <w:rsid w:val="00953A30"/>
    <w:rsid w:val="009542D6"/>
    <w:rsid w:val="009545A6"/>
    <w:rsid w:val="009547CA"/>
    <w:rsid w:val="00954A49"/>
    <w:rsid w:val="00954DBA"/>
    <w:rsid w:val="009550D0"/>
    <w:rsid w:val="0095571D"/>
    <w:rsid w:val="00955994"/>
    <w:rsid w:val="00955CF3"/>
    <w:rsid w:val="00955E93"/>
    <w:rsid w:val="00956720"/>
    <w:rsid w:val="009568E3"/>
    <w:rsid w:val="009569BB"/>
    <w:rsid w:val="00956E81"/>
    <w:rsid w:val="00956FA5"/>
    <w:rsid w:val="00957001"/>
    <w:rsid w:val="00957279"/>
    <w:rsid w:val="00957879"/>
    <w:rsid w:val="0095797A"/>
    <w:rsid w:val="009579C9"/>
    <w:rsid w:val="00960123"/>
    <w:rsid w:val="0096022D"/>
    <w:rsid w:val="00960417"/>
    <w:rsid w:val="0096095F"/>
    <w:rsid w:val="00961278"/>
    <w:rsid w:val="00961451"/>
    <w:rsid w:val="009614B8"/>
    <w:rsid w:val="00961809"/>
    <w:rsid w:val="00961B6E"/>
    <w:rsid w:val="0096220E"/>
    <w:rsid w:val="009624AA"/>
    <w:rsid w:val="009624D8"/>
    <w:rsid w:val="009625F5"/>
    <w:rsid w:val="0096299A"/>
    <w:rsid w:val="009629A3"/>
    <w:rsid w:val="00962B39"/>
    <w:rsid w:val="00962B7C"/>
    <w:rsid w:val="00962CD5"/>
    <w:rsid w:val="00963192"/>
    <w:rsid w:val="009631E8"/>
    <w:rsid w:val="00963589"/>
    <w:rsid w:val="009644BF"/>
    <w:rsid w:val="00964747"/>
    <w:rsid w:val="009656B8"/>
    <w:rsid w:val="00965AF7"/>
    <w:rsid w:val="00965C82"/>
    <w:rsid w:val="009662C3"/>
    <w:rsid w:val="00966699"/>
    <w:rsid w:val="009667AF"/>
    <w:rsid w:val="0096681C"/>
    <w:rsid w:val="00966DE5"/>
    <w:rsid w:val="00966E08"/>
    <w:rsid w:val="00966F7E"/>
    <w:rsid w:val="009677EE"/>
    <w:rsid w:val="0096783C"/>
    <w:rsid w:val="009705DF"/>
    <w:rsid w:val="009709C6"/>
    <w:rsid w:val="00970A2B"/>
    <w:rsid w:val="00970A52"/>
    <w:rsid w:val="00970A57"/>
    <w:rsid w:val="00970BA2"/>
    <w:rsid w:val="0097117D"/>
    <w:rsid w:val="009712A5"/>
    <w:rsid w:val="009717F1"/>
    <w:rsid w:val="00971CC4"/>
    <w:rsid w:val="00971D12"/>
    <w:rsid w:val="00971D96"/>
    <w:rsid w:val="00971F0A"/>
    <w:rsid w:val="00971FEE"/>
    <w:rsid w:val="00972076"/>
    <w:rsid w:val="009726CB"/>
    <w:rsid w:val="009726EC"/>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4"/>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718"/>
    <w:rsid w:val="00983F71"/>
    <w:rsid w:val="00983FC4"/>
    <w:rsid w:val="00984091"/>
    <w:rsid w:val="009847B1"/>
    <w:rsid w:val="009847F9"/>
    <w:rsid w:val="009850A0"/>
    <w:rsid w:val="009851FD"/>
    <w:rsid w:val="009864C2"/>
    <w:rsid w:val="009866D2"/>
    <w:rsid w:val="00987035"/>
    <w:rsid w:val="00987529"/>
    <w:rsid w:val="009877DF"/>
    <w:rsid w:val="00987881"/>
    <w:rsid w:val="00987935"/>
    <w:rsid w:val="00987A50"/>
    <w:rsid w:val="00987B17"/>
    <w:rsid w:val="00987EF1"/>
    <w:rsid w:val="00987F16"/>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48F"/>
    <w:rsid w:val="0099667A"/>
    <w:rsid w:val="00996C43"/>
    <w:rsid w:val="00996C80"/>
    <w:rsid w:val="0099764E"/>
    <w:rsid w:val="00997A93"/>
    <w:rsid w:val="009A0C84"/>
    <w:rsid w:val="009A0E9C"/>
    <w:rsid w:val="009A1113"/>
    <w:rsid w:val="009A17B4"/>
    <w:rsid w:val="009A1849"/>
    <w:rsid w:val="009A1944"/>
    <w:rsid w:val="009A1EC6"/>
    <w:rsid w:val="009A20A6"/>
    <w:rsid w:val="009A2174"/>
    <w:rsid w:val="009A221E"/>
    <w:rsid w:val="009A27C1"/>
    <w:rsid w:val="009A2881"/>
    <w:rsid w:val="009A2939"/>
    <w:rsid w:val="009A2A7D"/>
    <w:rsid w:val="009A2CF7"/>
    <w:rsid w:val="009A33CC"/>
    <w:rsid w:val="009A367A"/>
    <w:rsid w:val="009A3DB8"/>
    <w:rsid w:val="009A4614"/>
    <w:rsid w:val="009A4ECC"/>
    <w:rsid w:val="009A5287"/>
    <w:rsid w:val="009A563A"/>
    <w:rsid w:val="009A56FB"/>
    <w:rsid w:val="009A5B5F"/>
    <w:rsid w:val="009A64A5"/>
    <w:rsid w:val="009A6639"/>
    <w:rsid w:val="009A6678"/>
    <w:rsid w:val="009A6776"/>
    <w:rsid w:val="009A6F22"/>
    <w:rsid w:val="009A7209"/>
    <w:rsid w:val="009A72EF"/>
    <w:rsid w:val="009A732A"/>
    <w:rsid w:val="009A759C"/>
    <w:rsid w:val="009A7D8A"/>
    <w:rsid w:val="009B0097"/>
    <w:rsid w:val="009B13C7"/>
    <w:rsid w:val="009B1598"/>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228"/>
    <w:rsid w:val="009B6BE2"/>
    <w:rsid w:val="009B6D0B"/>
    <w:rsid w:val="009B6E54"/>
    <w:rsid w:val="009B79EB"/>
    <w:rsid w:val="009C00E0"/>
    <w:rsid w:val="009C03A4"/>
    <w:rsid w:val="009C0538"/>
    <w:rsid w:val="009C0963"/>
    <w:rsid w:val="009C0E80"/>
    <w:rsid w:val="009C0EDA"/>
    <w:rsid w:val="009C0F06"/>
    <w:rsid w:val="009C1357"/>
    <w:rsid w:val="009C1B8D"/>
    <w:rsid w:val="009C1FDD"/>
    <w:rsid w:val="009C2203"/>
    <w:rsid w:val="009C25E2"/>
    <w:rsid w:val="009C2617"/>
    <w:rsid w:val="009C27C8"/>
    <w:rsid w:val="009C2838"/>
    <w:rsid w:val="009C2E33"/>
    <w:rsid w:val="009C3B05"/>
    <w:rsid w:val="009C41C6"/>
    <w:rsid w:val="009C4C99"/>
    <w:rsid w:val="009C5163"/>
    <w:rsid w:val="009C5595"/>
    <w:rsid w:val="009C569A"/>
    <w:rsid w:val="009C5D9A"/>
    <w:rsid w:val="009C61E3"/>
    <w:rsid w:val="009C6BB2"/>
    <w:rsid w:val="009C79DA"/>
    <w:rsid w:val="009C7A52"/>
    <w:rsid w:val="009C7E88"/>
    <w:rsid w:val="009C7ED5"/>
    <w:rsid w:val="009D0150"/>
    <w:rsid w:val="009D02C0"/>
    <w:rsid w:val="009D03E9"/>
    <w:rsid w:val="009D1097"/>
    <w:rsid w:val="009D1387"/>
    <w:rsid w:val="009D192B"/>
    <w:rsid w:val="009D1EE0"/>
    <w:rsid w:val="009D2AF0"/>
    <w:rsid w:val="009D2BED"/>
    <w:rsid w:val="009D2C27"/>
    <w:rsid w:val="009D2C3A"/>
    <w:rsid w:val="009D35C1"/>
    <w:rsid w:val="009D41CA"/>
    <w:rsid w:val="009D44FC"/>
    <w:rsid w:val="009D462D"/>
    <w:rsid w:val="009D48BA"/>
    <w:rsid w:val="009D4966"/>
    <w:rsid w:val="009D4EA6"/>
    <w:rsid w:val="009D56B3"/>
    <w:rsid w:val="009D5831"/>
    <w:rsid w:val="009D60E3"/>
    <w:rsid w:val="009D67EF"/>
    <w:rsid w:val="009D687C"/>
    <w:rsid w:val="009D6909"/>
    <w:rsid w:val="009D72CE"/>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3CD8"/>
    <w:rsid w:val="009E42F5"/>
    <w:rsid w:val="009E4400"/>
    <w:rsid w:val="009E445B"/>
    <w:rsid w:val="009E4727"/>
    <w:rsid w:val="009E48B9"/>
    <w:rsid w:val="009E4912"/>
    <w:rsid w:val="009E4ECB"/>
    <w:rsid w:val="009E4F27"/>
    <w:rsid w:val="009E4FA5"/>
    <w:rsid w:val="009E51FD"/>
    <w:rsid w:val="009E5CB1"/>
    <w:rsid w:val="009E6461"/>
    <w:rsid w:val="009E64E4"/>
    <w:rsid w:val="009E66C4"/>
    <w:rsid w:val="009E7041"/>
    <w:rsid w:val="009E774B"/>
    <w:rsid w:val="009E776E"/>
    <w:rsid w:val="009E7BD1"/>
    <w:rsid w:val="009E7BF6"/>
    <w:rsid w:val="009F0367"/>
    <w:rsid w:val="009F0EBE"/>
    <w:rsid w:val="009F0F38"/>
    <w:rsid w:val="009F15CB"/>
    <w:rsid w:val="009F17E6"/>
    <w:rsid w:val="009F1992"/>
    <w:rsid w:val="009F1F91"/>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53F"/>
    <w:rsid w:val="009F6736"/>
    <w:rsid w:val="009F69A6"/>
    <w:rsid w:val="009F69C9"/>
    <w:rsid w:val="009F6A03"/>
    <w:rsid w:val="009F6D12"/>
    <w:rsid w:val="009F7089"/>
    <w:rsid w:val="009F72FF"/>
    <w:rsid w:val="009F734A"/>
    <w:rsid w:val="009F76AC"/>
    <w:rsid w:val="009F7CB5"/>
    <w:rsid w:val="009F7D44"/>
    <w:rsid w:val="009F7E6E"/>
    <w:rsid w:val="00A00055"/>
    <w:rsid w:val="00A00284"/>
    <w:rsid w:val="00A0034C"/>
    <w:rsid w:val="00A00B25"/>
    <w:rsid w:val="00A00EE5"/>
    <w:rsid w:val="00A010D1"/>
    <w:rsid w:val="00A01AAB"/>
    <w:rsid w:val="00A01B38"/>
    <w:rsid w:val="00A01C69"/>
    <w:rsid w:val="00A01FB5"/>
    <w:rsid w:val="00A0203B"/>
    <w:rsid w:val="00A02315"/>
    <w:rsid w:val="00A0237E"/>
    <w:rsid w:val="00A02502"/>
    <w:rsid w:val="00A03361"/>
    <w:rsid w:val="00A037E0"/>
    <w:rsid w:val="00A03EF4"/>
    <w:rsid w:val="00A04409"/>
    <w:rsid w:val="00A04BFF"/>
    <w:rsid w:val="00A04EA4"/>
    <w:rsid w:val="00A05258"/>
    <w:rsid w:val="00A0528A"/>
    <w:rsid w:val="00A05743"/>
    <w:rsid w:val="00A0583C"/>
    <w:rsid w:val="00A05F4D"/>
    <w:rsid w:val="00A06029"/>
    <w:rsid w:val="00A062C0"/>
    <w:rsid w:val="00A06A77"/>
    <w:rsid w:val="00A06B88"/>
    <w:rsid w:val="00A06DAC"/>
    <w:rsid w:val="00A0765D"/>
    <w:rsid w:val="00A07EA2"/>
    <w:rsid w:val="00A10197"/>
    <w:rsid w:val="00A1039D"/>
    <w:rsid w:val="00A11A74"/>
    <w:rsid w:val="00A11C87"/>
    <w:rsid w:val="00A11DC4"/>
    <w:rsid w:val="00A1238C"/>
    <w:rsid w:val="00A123F7"/>
    <w:rsid w:val="00A125D4"/>
    <w:rsid w:val="00A131C1"/>
    <w:rsid w:val="00A137CD"/>
    <w:rsid w:val="00A1436A"/>
    <w:rsid w:val="00A15225"/>
    <w:rsid w:val="00A1527A"/>
    <w:rsid w:val="00A15314"/>
    <w:rsid w:val="00A15D1C"/>
    <w:rsid w:val="00A16277"/>
    <w:rsid w:val="00A1628C"/>
    <w:rsid w:val="00A1628F"/>
    <w:rsid w:val="00A16780"/>
    <w:rsid w:val="00A168B8"/>
    <w:rsid w:val="00A16BD0"/>
    <w:rsid w:val="00A16D04"/>
    <w:rsid w:val="00A16E2D"/>
    <w:rsid w:val="00A16E6C"/>
    <w:rsid w:val="00A17387"/>
    <w:rsid w:val="00A17575"/>
    <w:rsid w:val="00A17AB4"/>
    <w:rsid w:val="00A17CEF"/>
    <w:rsid w:val="00A20705"/>
    <w:rsid w:val="00A20A52"/>
    <w:rsid w:val="00A21384"/>
    <w:rsid w:val="00A21632"/>
    <w:rsid w:val="00A219A5"/>
    <w:rsid w:val="00A21CD6"/>
    <w:rsid w:val="00A22463"/>
    <w:rsid w:val="00A22566"/>
    <w:rsid w:val="00A227D0"/>
    <w:rsid w:val="00A2420E"/>
    <w:rsid w:val="00A2473A"/>
    <w:rsid w:val="00A24CFD"/>
    <w:rsid w:val="00A25016"/>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DD9"/>
    <w:rsid w:val="00A30F8D"/>
    <w:rsid w:val="00A31832"/>
    <w:rsid w:val="00A31EDC"/>
    <w:rsid w:val="00A32004"/>
    <w:rsid w:val="00A320F9"/>
    <w:rsid w:val="00A321CC"/>
    <w:rsid w:val="00A32853"/>
    <w:rsid w:val="00A32860"/>
    <w:rsid w:val="00A32897"/>
    <w:rsid w:val="00A32A56"/>
    <w:rsid w:val="00A32D83"/>
    <w:rsid w:val="00A32F8B"/>
    <w:rsid w:val="00A33213"/>
    <w:rsid w:val="00A33981"/>
    <w:rsid w:val="00A33A73"/>
    <w:rsid w:val="00A33D72"/>
    <w:rsid w:val="00A34056"/>
    <w:rsid w:val="00A340B8"/>
    <w:rsid w:val="00A341E5"/>
    <w:rsid w:val="00A3493E"/>
    <w:rsid w:val="00A34D9B"/>
    <w:rsid w:val="00A3512E"/>
    <w:rsid w:val="00A35798"/>
    <w:rsid w:val="00A35B65"/>
    <w:rsid w:val="00A36383"/>
    <w:rsid w:val="00A36896"/>
    <w:rsid w:val="00A36D5E"/>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073"/>
    <w:rsid w:val="00A43218"/>
    <w:rsid w:val="00A43439"/>
    <w:rsid w:val="00A43647"/>
    <w:rsid w:val="00A43D06"/>
    <w:rsid w:val="00A43E50"/>
    <w:rsid w:val="00A43EC5"/>
    <w:rsid w:val="00A43F0C"/>
    <w:rsid w:val="00A441B7"/>
    <w:rsid w:val="00A444DE"/>
    <w:rsid w:val="00A445B6"/>
    <w:rsid w:val="00A446F5"/>
    <w:rsid w:val="00A44827"/>
    <w:rsid w:val="00A44950"/>
    <w:rsid w:val="00A452EA"/>
    <w:rsid w:val="00A453C1"/>
    <w:rsid w:val="00A459CF"/>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1AB7"/>
    <w:rsid w:val="00A72B28"/>
    <w:rsid w:val="00A72E24"/>
    <w:rsid w:val="00A73B7E"/>
    <w:rsid w:val="00A7502A"/>
    <w:rsid w:val="00A75EF4"/>
    <w:rsid w:val="00A761E2"/>
    <w:rsid w:val="00A762A2"/>
    <w:rsid w:val="00A7634B"/>
    <w:rsid w:val="00A76687"/>
    <w:rsid w:val="00A76C49"/>
    <w:rsid w:val="00A76D86"/>
    <w:rsid w:val="00A76E0A"/>
    <w:rsid w:val="00A773BC"/>
    <w:rsid w:val="00A776DF"/>
    <w:rsid w:val="00A7777E"/>
    <w:rsid w:val="00A77F76"/>
    <w:rsid w:val="00A80227"/>
    <w:rsid w:val="00A80C01"/>
    <w:rsid w:val="00A80DEF"/>
    <w:rsid w:val="00A8157B"/>
    <w:rsid w:val="00A81E04"/>
    <w:rsid w:val="00A82372"/>
    <w:rsid w:val="00A82B8B"/>
    <w:rsid w:val="00A82E68"/>
    <w:rsid w:val="00A8354B"/>
    <w:rsid w:val="00A835CE"/>
    <w:rsid w:val="00A8398C"/>
    <w:rsid w:val="00A83D83"/>
    <w:rsid w:val="00A83FAC"/>
    <w:rsid w:val="00A84BB7"/>
    <w:rsid w:val="00A85100"/>
    <w:rsid w:val="00A85DAE"/>
    <w:rsid w:val="00A85F0F"/>
    <w:rsid w:val="00A8602A"/>
    <w:rsid w:val="00A865EA"/>
    <w:rsid w:val="00A867A4"/>
    <w:rsid w:val="00A867B5"/>
    <w:rsid w:val="00A8682C"/>
    <w:rsid w:val="00A8762E"/>
    <w:rsid w:val="00A87CAC"/>
    <w:rsid w:val="00A87D34"/>
    <w:rsid w:val="00A87F31"/>
    <w:rsid w:val="00A90789"/>
    <w:rsid w:val="00A9082F"/>
    <w:rsid w:val="00A909B0"/>
    <w:rsid w:val="00A90B34"/>
    <w:rsid w:val="00A9112D"/>
    <w:rsid w:val="00A91341"/>
    <w:rsid w:val="00A91422"/>
    <w:rsid w:val="00A919D2"/>
    <w:rsid w:val="00A92D2C"/>
    <w:rsid w:val="00A92EC5"/>
    <w:rsid w:val="00A93086"/>
    <w:rsid w:val="00A93094"/>
    <w:rsid w:val="00A93819"/>
    <w:rsid w:val="00A93D55"/>
    <w:rsid w:val="00A93EE3"/>
    <w:rsid w:val="00A940F0"/>
    <w:rsid w:val="00A94355"/>
    <w:rsid w:val="00A9487F"/>
    <w:rsid w:val="00A94FE7"/>
    <w:rsid w:val="00A956BA"/>
    <w:rsid w:val="00A95A9E"/>
    <w:rsid w:val="00A95DE6"/>
    <w:rsid w:val="00A95DFB"/>
    <w:rsid w:val="00A96C02"/>
    <w:rsid w:val="00A97081"/>
    <w:rsid w:val="00A972ED"/>
    <w:rsid w:val="00A97329"/>
    <w:rsid w:val="00A97892"/>
    <w:rsid w:val="00AA0892"/>
    <w:rsid w:val="00AA0B61"/>
    <w:rsid w:val="00AA0CD3"/>
    <w:rsid w:val="00AA1332"/>
    <w:rsid w:val="00AA18F4"/>
    <w:rsid w:val="00AA1BA3"/>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957"/>
    <w:rsid w:val="00AA5C5C"/>
    <w:rsid w:val="00AA5D12"/>
    <w:rsid w:val="00AA64EB"/>
    <w:rsid w:val="00AA69E0"/>
    <w:rsid w:val="00AA6FAC"/>
    <w:rsid w:val="00AA7B70"/>
    <w:rsid w:val="00AA7BBD"/>
    <w:rsid w:val="00AA7FB6"/>
    <w:rsid w:val="00AB03F5"/>
    <w:rsid w:val="00AB0789"/>
    <w:rsid w:val="00AB0D59"/>
    <w:rsid w:val="00AB0EDC"/>
    <w:rsid w:val="00AB11B3"/>
    <w:rsid w:val="00AB13A6"/>
    <w:rsid w:val="00AB13E6"/>
    <w:rsid w:val="00AB1938"/>
    <w:rsid w:val="00AB1EFB"/>
    <w:rsid w:val="00AB1F24"/>
    <w:rsid w:val="00AB230C"/>
    <w:rsid w:val="00AB2596"/>
    <w:rsid w:val="00AB27DE"/>
    <w:rsid w:val="00AB2FFE"/>
    <w:rsid w:val="00AB30A9"/>
    <w:rsid w:val="00AB31D2"/>
    <w:rsid w:val="00AB32F8"/>
    <w:rsid w:val="00AB3A4B"/>
    <w:rsid w:val="00AB3D3A"/>
    <w:rsid w:val="00AB45B5"/>
    <w:rsid w:val="00AB4CEE"/>
    <w:rsid w:val="00AB4DE3"/>
    <w:rsid w:val="00AB546E"/>
    <w:rsid w:val="00AB5759"/>
    <w:rsid w:val="00AB5B72"/>
    <w:rsid w:val="00AB5CDA"/>
    <w:rsid w:val="00AB6864"/>
    <w:rsid w:val="00AB68A1"/>
    <w:rsid w:val="00AB6B8C"/>
    <w:rsid w:val="00AB7601"/>
    <w:rsid w:val="00AB7B2F"/>
    <w:rsid w:val="00AC0450"/>
    <w:rsid w:val="00AC075A"/>
    <w:rsid w:val="00AC0C37"/>
    <w:rsid w:val="00AC1611"/>
    <w:rsid w:val="00AC20A0"/>
    <w:rsid w:val="00AC2214"/>
    <w:rsid w:val="00AC2267"/>
    <w:rsid w:val="00AC2728"/>
    <w:rsid w:val="00AC2A20"/>
    <w:rsid w:val="00AC3B1D"/>
    <w:rsid w:val="00AC3F4C"/>
    <w:rsid w:val="00AC402F"/>
    <w:rsid w:val="00AC45DD"/>
    <w:rsid w:val="00AC48E2"/>
    <w:rsid w:val="00AC496D"/>
    <w:rsid w:val="00AC4CF3"/>
    <w:rsid w:val="00AC50A1"/>
    <w:rsid w:val="00AC5100"/>
    <w:rsid w:val="00AC5209"/>
    <w:rsid w:val="00AC55BE"/>
    <w:rsid w:val="00AC5A47"/>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B4"/>
    <w:rsid w:val="00AD7528"/>
    <w:rsid w:val="00AE0555"/>
    <w:rsid w:val="00AE064E"/>
    <w:rsid w:val="00AE0CD0"/>
    <w:rsid w:val="00AE0EA3"/>
    <w:rsid w:val="00AE0FA5"/>
    <w:rsid w:val="00AE13FA"/>
    <w:rsid w:val="00AE1451"/>
    <w:rsid w:val="00AE1C04"/>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6DF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AF7E7F"/>
    <w:rsid w:val="00B0017D"/>
    <w:rsid w:val="00B00452"/>
    <w:rsid w:val="00B00885"/>
    <w:rsid w:val="00B00986"/>
    <w:rsid w:val="00B00CEB"/>
    <w:rsid w:val="00B010C1"/>
    <w:rsid w:val="00B01133"/>
    <w:rsid w:val="00B013C1"/>
    <w:rsid w:val="00B0164B"/>
    <w:rsid w:val="00B01C7D"/>
    <w:rsid w:val="00B01CA6"/>
    <w:rsid w:val="00B026B3"/>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4E4"/>
    <w:rsid w:val="00B07DBE"/>
    <w:rsid w:val="00B106B5"/>
    <w:rsid w:val="00B107AC"/>
    <w:rsid w:val="00B1082D"/>
    <w:rsid w:val="00B109B4"/>
    <w:rsid w:val="00B10E3E"/>
    <w:rsid w:val="00B1102B"/>
    <w:rsid w:val="00B1183D"/>
    <w:rsid w:val="00B12150"/>
    <w:rsid w:val="00B12197"/>
    <w:rsid w:val="00B122E6"/>
    <w:rsid w:val="00B126B8"/>
    <w:rsid w:val="00B12C72"/>
    <w:rsid w:val="00B12CA7"/>
    <w:rsid w:val="00B13027"/>
    <w:rsid w:val="00B13107"/>
    <w:rsid w:val="00B1330F"/>
    <w:rsid w:val="00B13551"/>
    <w:rsid w:val="00B13938"/>
    <w:rsid w:val="00B13C95"/>
    <w:rsid w:val="00B14065"/>
    <w:rsid w:val="00B144D1"/>
    <w:rsid w:val="00B14C87"/>
    <w:rsid w:val="00B14DC4"/>
    <w:rsid w:val="00B14E01"/>
    <w:rsid w:val="00B1582B"/>
    <w:rsid w:val="00B159C3"/>
    <w:rsid w:val="00B161A5"/>
    <w:rsid w:val="00B163E9"/>
    <w:rsid w:val="00B166F3"/>
    <w:rsid w:val="00B17186"/>
    <w:rsid w:val="00B1767B"/>
    <w:rsid w:val="00B1787D"/>
    <w:rsid w:val="00B17C98"/>
    <w:rsid w:val="00B17FD0"/>
    <w:rsid w:val="00B20097"/>
    <w:rsid w:val="00B20857"/>
    <w:rsid w:val="00B209D5"/>
    <w:rsid w:val="00B209EA"/>
    <w:rsid w:val="00B20B28"/>
    <w:rsid w:val="00B20FA4"/>
    <w:rsid w:val="00B21082"/>
    <w:rsid w:val="00B21E2D"/>
    <w:rsid w:val="00B22A34"/>
    <w:rsid w:val="00B22F79"/>
    <w:rsid w:val="00B235E8"/>
    <w:rsid w:val="00B23A2C"/>
    <w:rsid w:val="00B23C24"/>
    <w:rsid w:val="00B241C7"/>
    <w:rsid w:val="00B24496"/>
    <w:rsid w:val="00B246EE"/>
    <w:rsid w:val="00B24CAB"/>
    <w:rsid w:val="00B24FB4"/>
    <w:rsid w:val="00B25C24"/>
    <w:rsid w:val="00B26993"/>
    <w:rsid w:val="00B26EBA"/>
    <w:rsid w:val="00B27867"/>
    <w:rsid w:val="00B27BCA"/>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5B9"/>
    <w:rsid w:val="00B32707"/>
    <w:rsid w:val="00B32EBF"/>
    <w:rsid w:val="00B3340A"/>
    <w:rsid w:val="00B3480E"/>
    <w:rsid w:val="00B34ABB"/>
    <w:rsid w:val="00B34FEE"/>
    <w:rsid w:val="00B35196"/>
    <w:rsid w:val="00B356C1"/>
    <w:rsid w:val="00B356EF"/>
    <w:rsid w:val="00B35C7E"/>
    <w:rsid w:val="00B35F6E"/>
    <w:rsid w:val="00B36145"/>
    <w:rsid w:val="00B36529"/>
    <w:rsid w:val="00B36DEA"/>
    <w:rsid w:val="00B37023"/>
    <w:rsid w:val="00B370AB"/>
    <w:rsid w:val="00B37570"/>
    <w:rsid w:val="00B3773B"/>
    <w:rsid w:val="00B37A4C"/>
    <w:rsid w:val="00B37E07"/>
    <w:rsid w:val="00B402EF"/>
    <w:rsid w:val="00B4033B"/>
    <w:rsid w:val="00B403C5"/>
    <w:rsid w:val="00B403F4"/>
    <w:rsid w:val="00B40547"/>
    <w:rsid w:val="00B409E4"/>
    <w:rsid w:val="00B40C36"/>
    <w:rsid w:val="00B40E94"/>
    <w:rsid w:val="00B40ED1"/>
    <w:rsid w:val="00B410F2"/>
    <w:rsid w:val="00B41423"/>
    <w:rsid w:val="00B41A92"/>
    <w:rsid w:val="00B41D84"/>
    <w:rsid w:val="00B41E18"/>
    <w:rsid w:val="00B422DC"/>
    <w:rsid w:val="00B4231A"/>
    <w:rsid w:val="00B4250A"/>
    <w:rsid w:val="00B4298F"/>
    <w:rsid w:val="00B42A8F"/>
    <w:rsid w:val="00B43325"/>
    <w:rsid w:val="00B43451"/>
    <w:rsid w:val="00B43E14"/>
    <w:rsid w:val="00B4437E"/>
    <w:rsid w:val="00B4537F"/>
    <w:rsid w:val="00B45B4F"/>
    <w:rsid w:val="00B45EC0"/>
    <w:rsid w:val="00B46B0F"/>
    <w:rsid w:val="00B46E27"/>
    <w:rsid w:val="00B471B6"/>
    <w:rsid w:val="00B47B5A"/>
    <w:rsid w:val="00B501AF"/>
    <w:rsid w:val="00B50375"/>
    <w:rsid w:val="00B50426"/>
    <w:rsid w:val="00B504D6"/>
    <w:rsid w:val="00B50595"/>
    <w:rsid w:val="00B5113A"/>
    <w:rsid w:val="00B51358"/>
    <w:rsid w:val="00B51974"/>
    <w:rsid w:val="00B51AFF"/>
    <w:rsid w:val="00B526E3"/>
    <w:rsid w:val="00B533FB"/>
    <w:rsid w:val="00B53983"/>
    <w:rsid w:val="00B543AD"/>
    <w:rsid w:val="00B54709"/>
    <w:rsid w:val="00B55654"/>
    <w:rsid w:val="00B5568E"/>
    <w:rsid w:val="00B5591C"/>
    <w:rsid w:val="00B55B7F"/>
    <w:rsid w:val="00B55C95"/>
    <w:rsid w:val="00B55D79"/>
    <w:rsid w:val="00B56219"/>
    <w:rsid w:val="00B562BD"/>
    <w:rsid w:val="00B5640A"/>
    <w:rsid w:val="00B564B4"/>
    <w:rsid w:val="00B5675B"/>
    <w:rsid w:val="00B56A31"/>
    <w:rsid w:val="00B56CD9"/>
    <w:rsid w:val="00B56CF8"/>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80F"/>
    <w:rsid w:val="00B659BA"/>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10E1"/>
    <w:rsid w:val="00B7147F"/>
    <w:rsid w:val="00B71CFF"/>
    <w:rsid w:val="00B72C0A"/>
    <w:rsid w:val="00B72F2B"/>
    <w:rsid w:val="00B731CE"/>
    <w:rsid w:val="00B73A4C"/>
    <w:rsid w:val="00B73D9E"/>
    <w:rsid w:val="00B73E7F"/>
    <w:rsid w:val="00B74454"/>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8C3"/>
    <w:rsid w:val="00B80F50"/>
    <w:rsid w:val="00B810D4"/>
    <w:rsid w:val="00B811B5"/>
    <w:rsid w:val="00B814A1"/>
    <w:rsid w:val="00B81A1A"/>
    <w:rsid w:val="00B81BEE"/>
    <w:rsid w:val="00B81C28"/>
    <w:rsid w:val="00B82456"/>
    <w:rsid w:val="00B82460"/>
    <w:rsid w:val="00B824E4"/>
    <w:rsid w:val="00B82694"/>
    <w:rsid w:val="00B82E76"/>
    <w:rsid w:val="00B832E1"/>
    <w:rsid w:val="00B83A12"/>
    <w:rsid w:val="00B83E2C"/>
    <w:rsid w:val="00B84011"/>
    <w:rsid w:val="00B84232"/>
    <w:rsid w:val="00B84C2E"/>
    <w:rsid w:val="00B84E39"/>
    <w:rsid w:val="00B851C9"/>
    <w:rsid w:val="00B854A8"/>
    <w:rsid w:val="00B85867"/>
    <w:rsid w:val="00B85B53"/>
    <w:rsid w:val="00B85D0D"/>
    <w:rsid w:val="00B86144"/>
    <w:rsid w:val="00B861F1"/>
    <w:rsid w:val="00B869DA"/>
    <w:rsid w:val="00B86B70"/>
    <w:rsid w:val="00B86BC8"/>
    <w:rsid w:val="00B87BA1"/>
    <w:rsid w:val="00B87CEB"/>
    <w:rsid w:val="00B87E0A"/>
    <w:rsid w:val="00B90529"/>
    <w:rsid w:val="00B90BDB"/>
    <w:rsid w:val="00B90BEB"/>
    <w:rsid w:val="00B91023"/>
    <w:rsid w:val="00B912EC"/>
    <w:rsid w:val="00B918AD"/>
    <w:rsid w:val="00B91D8C"/>
    <w:rsid w:val="00B91F6E"/>
    <w:rsid w:val="00B92678"/>
    <w:rsid w:val="00B92C44"/>
    <w:rsid w:val="00B9323F"/>
    <w:rsid w:val="00B93292"/>
    <w:rsid w:val="00B935CD"/>
    <w:rsid w:val="00B93706"/>
    <w:rsid w:val="00B9388D"/>
    <w:rsid w:val="00B93ADB"/>
    <w:rsid w:val="00B93B11"/>
    <w:rsid w:val="00B93BAB"/>
    <w:rsid w:val="00B93F3A"/>
    <w:rsid w:val="00B940E4"/>
    <w:rsid w:val="00B945A8"/>
    <w:rsid w:val="00B94601"/>
    <w:rsid w:val="00B9462C"/>
    <w:rsid w:val="00B94907"/>
    <w:rsid w:val="00B94999"/>
    <w:rsid w:val="00B94EE3"/>
    <w:rsid w:val="00B95202"/>
    <w:rsid w:val="00B95FA2"/>
    <w:rsid w:val="00B964AE"/>
    <w:rsid w:val="00B9653E"/>
    <w:rsid w:val="00B969B7"/>
    <w:rsid w:val="00B96E2C"/>
    <w:rsid w:val="00B971F5"/>
    <w:rsid w:val="00B97353"/>
    <w:rsid w:val="00B9743B"/>
    <w:rsid w:val="00B97466"/>
    <w:rsid w:val="00B9797D"/>
    <w:rsid w:val="00BA0259"/>
    <w:rsid w:val="00BA025A"/>
    <w:rsid w:val="00BA0949"/>
    <w:rsid w:val="00BA0E0C"/>
    <w:rsid w:val="00BA13EB"/>
    <w:rsid w:val="00BA1688"/>
    <w:rsid w:val="00BA1750"/>
    <w:rsid w:val="00BA17B6"/>
    <w:rsid w:val="00BA18DD"/>
    <w:rsid w:val="00BA1A5C"/>
    <w:rsid w:val="00BA205D"/>
    <w:rsid w:val="00BA23A3"/>
    <w:rsid w:val="00BA264F"/>
    <w:rsid w:val="00BA2BFD"/>
    <w:rsid w:val="00BA3044"/>
    <w:rsid w:val="00BA3E9C"/>
    <w:rsid w:val="00BA3F29"/>
    <w:rsid w:val="00BA41A3"/>
    <w:rsid w:val="00BA41D6"/>
    <w:rsid w:val="00BA430D"/>
    <w:rsid w:val="00BA4EF6"/>
    <w:rsid w:val="00BA56A2"/>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1B23"/>
    <w:rsid w:val="00BB2709"/>
    <w:rsid w:val="00BB2D48"/>
    <w:rsid w:val="00BB2E17"/>
    <w:rsid w:val="00BB37F7"/>
    <w:rsid w:val="00BB3AE2"/>
    <w:rsid w:val="00BB46E0"/>
    <w:rsid w:val="00BB46E5"/>
    <w:rsid w:val="00BB498B"/>
    <w:rsid w:val="00BB4BBE"/>
    <w:rsid w:val="00BB4E1B"/>
    <w:rsid w:val="00BB5250"/>
    <w:rsid w:val="00BB562B"/>
    <w:rsid w:val="00BB5998"/>
    <w:rsid w:val="00BB6E1B"/>
    <w:rsid w:val="00BB732D"/>
    <w:rsid w:val="00BB7802"/>
    <w:rsid w:val="00BB7B7B"/>
    <w:rsid w:val="00BB7D73"/>
    <w:rsid w:val="00BC0483"/>
    <w:rsid w:val="00BC0508"/>
    <w:rsid w:val="00BC0549"/>
    <w:rsid w:val="00BC0696"/>
    <w:rsid w:val="00BC0729"/>
    <w:rsid w:val="00BC074D"/>
    <w:rsid w:val="00BC0E25"/>
    <w:rsid w:val="00BC1025"/>
    <w:rsid w:val="00BC1257"/>
    <w:rsid w:val="00BC1676"/>
    <w:rsid w:val="00BC19D9"/>
    <w:rsid w:val="00BC1A14"/>
    <w:rsid w:val="00BC2192"/>
    <w:rsid w:val="00BC2B06"/>
    <w:rsid w:val="00BC2C17"/>
    <w:rsid w:val="00BC3C0A"/>
    <w:rsid w:val="00BC4D7A"/>
    <w:rsid w:val="00BC4F51"/>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051"/>
    <w:rsid w:val="00BD51BD"/>
    <w:rsid w:val="00BD51DF"/>
    <w:rsid w:val="00BD51F3"/>
    <w:rsid w:val="00BD5362"/>
    <w:rsid w:val="00BD5424"/>
    <w:rsid w:val="00BD5C64"/>
    <w:rsid w:val="00BD6038"/>
    <w:rsid w:val="00BD633B"/>
    <w:rsid w:val="00BD65BD"/>
    <w:rsid w:val="00BD6CEF"/>
    <w:rsid w:val="00BD73F6"/>
    <w:rsid w:val="00BD7767"/>
    <w:rsid w:val="00BD7D8E"/>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47E"/>
    <w:rsid w:val="00BE4D20"/>
    <w:rsid w:val="00BE4F71"/>
    <w:rsid w:val="00BE5695"/>
    <w:rsid w:val="00BE582D"/>
    <w:rsid w:val="00BE625F"/>
    <w:rsid w:val="00BE62E1"/>
    <w:rsid w:val="00BE6639"/>
    <w:rsid w:val="00BE66BA"/>
    <w:rsid w:val="00BE6A7D"/>
    <w:rsid w:val="00BE7036"/>
    <w:rsid w:val="00BE70CA"/>
    <w:rsid w:val="00BE71EF"/>
    <w:rsid w:val="00BE7258"/>
    <w:rsid w:val="00BE752D"/>
    <w:rsid w:val="00BE777C"/>
    <w:rsid w:val="00BE7862"/>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2AD"/>
    <w:rsid w:val="00C02BC3"/>
    <w:rsid w:val="00C03003"/>
    <w:rsid w:val="00C0359F"/>
    <w:rsid w:val="00C035B0"/>
    <w:rsid w:val="00C036C7"/>
    <w:rsid w:val="00C03A59"/>
    <w:rsid w:val="00C04508"/>
    <w:rsid w:val="00C04856"/>
    <w:rsid w:val="00C04984"/>
    <w:rsid w:val="00C049DE"/>
    <w:rsid w:val="00C050C8"/>
    <w:rsid w:val="00C0538B"/>
    <w:rsid w:val="00C05B9F"/>
    <w:rsid w:val="00C05CE6"/>
    <w:rsid w:val="00C05E28"/>
    <w:rsid w:val="00C05E69"/>
    <w:rsid w:val="00C05E89"/>
    <w:rsid w:val="00C05FEE"/>
    <w:rsid w:val="00C06D7A"/>
    <w:rsid w:val="00C07585"/>
    <w:rsid w:val="00C07CD0"/>
    <w:rsid w:val="00C07DB2"/>
    <w:rsid w:val="00C07E49"/>
    <w:rsid w:val="00C1016F"/>
    <w:rsid w:val="00C1021E"/>
    <w:rsid w:val="00C106D8"/>
    <w:rsid w:val="00C10739"/>
    <w:rsid w:val="00C11047"/>
    <w:rsid w:val="00C11D8B"/>
    <w:rsid w:val="00C11DBF"/>
    <w:rsid w:val="00C12894"/>
    <w:rsid w:val="00C12BC1"/>
    <w:rsid w:val="00C12DD5"/>
    <w:rsid w:val="00C1308A"/>
    <w:rsid w:val="00C1377B"/>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0C6"/>
    <w:rsid w:val="00C327A4"/>
    <w:rsid w:val="00C32AF2"/>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8CD"/>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19E"/>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01"/>
    <w:rsid w:val="00C508C3"/>
    <w:rsid w:val="00C50C99"/>
    <w:rsid w:val="00C50CE4"/>
    <w:rsid w:val="00C5132D"/>
    <w:rsid w:val="00C514D8"/>
    <w:rsid w:val="00C51986"/>
    <w:rsid w:val="00C51BA1"/>
    <w:rsid w:val="00C51D0D"/>
    <w:rsid w:val="00C51E78"/>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260"/>
    <w:rsid w:val="00C567ED"/>
    <w:rsid w:val="00C569D2"/>
    <w:rsid w:val="00C57379"/>
    <w:rsid w:val="00C57912"/>
    <w:rsid w:val="00C6068E"/>
    <w:rsid w:val="00C606F8"/>
    <w:rsid w:val="00C606FE"/>
    <w:rsid w:val="00C60867"/>
    <w:rsid w:val="00C60B5A"/>
    <w:rsid w:val="00C60F1B"/>
    <w:rsid w:val="00C61288"/>
    <w:rsid w:val="00C613E1"/>
    <w:rsid w:val="00C61468"/>
    <w:rsid w:val="00C62275"/>
    <w:rsid w:val="00C62861"/>
    <w:rsid w:val="00C62A8A"/>
    <w:rsid w:val="00C62AB5"/>
    <w:rsid w:val="00C62C79"/>
    <w:rsid w:val="00C62E3B"/>
    <w:rsid w:val="00C631FE"/>
    <w:rsid w:val="00C632FD"/>
    <w:rsid w:val="00C63398"/>
    <w:rsid w:val="00C637CA"/>
    <w:rsid w:val="00C63F5E"/>
    <w:rsid w:val="00C64B1F"/>
    <w:rsid w:val="00C64CC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BB9"/>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960"/>
    <w:rsid w:val="00C83C02"/>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48F"/>
    <w:rsid w:val="00C919AE"/>
    <w:rsid w:val="00C92088"/>
    <w:rsid w:val="00C926DA"/>
    <w:rsid w:val="00C92838"/>
    <w:rsid w:val="00C93318"/>
    <w:rsid w:val="00C93645"/>
    <w:rsid w:val="00C937A8"/>
    <w:rsid w:val="00C93A8A"/>
    <w:rsid w:val="00C93B4B"/>
    <w:rsid w:val="00C94108"/>
    <w:rsid w:val="00C94ADC"/>
    <w:rsid w:val="00C94FF0"/>
    <w:rsid w:val="00C95000"/>
    <w:rsid w:val="00C9536E"/>
    <w:rsid w:val="00C95557"/>
    <w:rsid w:val="00C95667"/>
    <w:rsid w:val="00C9587F"/>
    <w:rsid w:val="00C95E7F"/>
    <w:rsid w:val="00C96239"/>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AE3"/>
    <w:rsid w:val="00CA5E1F"/>
    <w:rsid w:val="00CA653A"/>
    <w:rsid w:val="00CA69F9"/>
    <w:rsid w:val="00CA6B4B"/>
    <w:rsid w:val="00CA728D"/>
    <w:rsid w:val="00CA733A"/>
    <w:rsid w:val="00CA785D"/>
    <w:rsid w:val="00CA78B1"/>
    <w:rsid w:val="00CB0111"/>
    <w:rsid w:val="00CB0918"/>
    <w:rsid w:val="00CB0A1B"/>
    <w:rsid w:val="00CB0DD4"/>
    <w:rsid w:val="00CB15FF"/>
    <w:rsid w:val="00CB1EEF"/>
    <w:rsid w:val="00CB2302"/>
    <w:rsid w:val="00CB24A3"/>
    <w:rsid w:val="00CB2583"/>
    <w:rsid w:val="00CB2B6F"/>
    <w:rsid w:val="00CB2FF7"/>
    <w:rsid w:val="00CB305C"/>
    <w:rsid w:val="00CB3068"/>
    <w:rsid w:val="00CB30B5"/>
    <w:rsid w:val="00CB3638"/>
    <w:rsid w:val="00CB3B36"/>
    <w:rsid w:val="00CB402C"/>
    <w:rsid w:val="00CB4AE8"/>
    <w:rsid w:val="00CB4B50"/>
    <w:rsid w:val="00CB4C55"/>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0F73"/>
    <w:rsid w:val="00CC116A"/>
    <w:rsid w:val="00CC1FA5"/>
    <w:rsid w:val="00CC24A6"/>
    <w:rsid w:val="00CC2AD7"/>
    <w:rsid w:val="00CC2F87"/>
    <w:rsid w:val="00CC321F"/>
    <w:rsid w:val="00CC37D4"/>
    <w:rsid w:val="00CC4038"/>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E2F"/>
    <w:rsid w:val="00CD3F32"/>
    <w:rsid w:val="00CD43E4"/>
    <w:rsid w:val="00CD4C90"/>
    <w:rsid w:val="00CD4E8D"/>
    <w:rsid w:val="00CD567A"/>
    <w:rsid w:val="00CD5B96"/>
    <w:rsid w:val="00CD6190"/>
    <w:rsid w:val="00CD62F8"/>
    <w:rsid w:val="00CD6B42"/>
    <w:rsid w:val="00CD6ED6"/>
    <w:rsid w:val="00CD71B9"/>
    <w:rsid w:val="00CD732E"/>
    <w:rsid w:val="00CD7BC4"/>
    <w:rsid w:val="00CD7F55"/>
    <w:rsid w:val="00CE0661"/>
    <w:rsid w:val="00CE08CF"/>
    <w:rsid w:val="00CE0B02"/>
    <w:rsid w:val="00CE187C"/>
    <w:rsid w:val="00CE29BF"/>
    <w:rsid w:val="00CE2AEF"/>
    <w:rsid w:val="00CE2C79"/>
    <w:rsid w:val="00CE2C7A"/>
    <w:rsid w:val="00CE3153"/>
    <w:rsid w:val="00CE395B"/>
    <w:rsid w:val="00CE438A"/>
    <w:rsid w:val="00CE4599"/>
    <w:rsid w:val="00CE45E3"/>
    <w:rsid w:val="00CE473E"/>
    <w:rsid w:val="00CE49B8"/>
    <w:rsid w:val="00CE5533"/>
    <w:rsid w:val="00CE553C"/>
    <w:rsid w:val="00CE5746"/>
    <w:rsid w:val="00CE5B3B"/>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5E8"/>
    <w:rsid w:val="00CF1784"/>
    <w:rsid w:val="00CF1D4C"/>
    <w:rsid w:val="00CF1E98"/>
    <w:rsid w:val="00CF1FD0"/>
    <w:rsid w:val="00CF20BE"/>
    <w:rsid w:val="00CF2192"/>
    <w:rsid w:val="00CF21D0"/>
    <w:rsid w:val="00CF222F"/>
    <w:rsid w:val="00CF2388"/>
    <w:rsid w:val="00CF2418"/>
    <w:rsid w:val="00CF2597"/>
    <w:rsid w:val="00CF25CF"/>
    <w:rsid w:val="00CF2824"/>
    <w:rsid w:val="00CF2BDA"/>
    <w:rsid w:val="00CF34D7"/>
    <w:rsid w:val="00CF396E"/>
    <w:rsid w:val="00CF3CD9"/>
    <w:rsid w:val="00CF4788"/>
    <w:rsid w:val="00CF49DC"/>
    <w:rsid w:val="00CF5044"/>
    <w:rsid w:val="00CF560B"/>
    <w:rsid w:val="00CF6051"/>
    <w:rsid w:val="00CF6E8C"/>
    <w:rsid w:val="00CF736E"/>
    <w:rsid w:val="00CF7389"/>
    <w:rsid w:val="00CF75B9"/>
    <w:rsid w:val="00CF760E"/>
    <w:rsid w:val="00CF77B7"/>
    <w:rsid w:val="00D00265"/>
    <w:rsid w:val="00D0085A"/>
    <w:rsid w:val="00D00984"/>
    <w:rsid w:val="00D00F69"/>
    <w:rsid w:val="00D012CF"/>
    <w:rsid w:val="00D01399"/>
    <w:rsid w:val="00D01710"/>
    <w:rsid w:val="00D01C77"/>
    <w:rsid w:val="00D01DAF"/>
    <w:rsid w:val="00D020C8"/>
    <w:rsid w:val="00D02602"/>
    <w:rsid w:val="00D026BE"/>
    <w:rsid w:val="00D027AD"/>
    <w:rsid w:val="00D027DA"/>
    <w:rsid w:val="00D027DB"/>
    <w:rsid w:val="00D02CF3"/>
    <w:rsid w:val="00D030D6"/>
    <w:rsid w:val="00D03116"/>
    <w:rsid w:val="00D033FA"/>
    <w:rsid w:val="00D03D01"/>
    <w:rsid w:val="00D03D16"/>
    <w:rsid w:val="00D047A8"/>
    <w:rsid w:val="00D04E3B"/>
    <w:rsid w:val="00D06598"/>
    <w:rsid w:val="00D06624"/>
    <w:rsid w:val="00D06651"/>
    <w:rsid w:val="00D06B1C"/>
    <w:rsid w:val="00D07C40"/>
    <w:rsid w:val="00D07EEE"/>
    <w:rsid w:val="00D103EE"/>
    <w:rsid w:val="00D107EB"/>
    <w:rsid w:val="00D10886"/>
    <w:rsid w:val="00D11727"/>
    <w:rsid w:val="00D11BD6"/>
    <w:rsid w:val="00D11E08"/>
    <w:rsid w:val="00D11E58"/>
    <w:rsid w:val="00D1202C"/>
    <w:rsid w:val="00D12074"/>
    <w:rsid w:val="00D129B2"/>
    <w:rsid w:val="00D12CD5"/>
    <w:rsid w:val="00D131E0"/>
    <w:rsid w:val="00D13439"/>
    <w:rsid w:val="00D13789"/>
    <w:rsid w:val="00D138A2"/>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3E"/>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C6A"/>
    <w:rsid w:val="00D32FA1"/>
    <w:rsid w:val="00D33BA7"/>
    <w:rsid w:val="00D344E9"/>
    <w:rsid w:val="00D34634"/>
    <w:rsid w:val="00D34D40"/>
    <w:rsid w:val="00D34E59"/>
    <w:rsid w:val="00D3540A"/>
    <w:rsid w:val="00D35811"/>
    <w:rsid w:val="00D35976"/>
    <w:rsid w:val="00D35B27"/>
    <w:rsid w:val="00D35CD8"/>
    <w:rsid w:val="00D36047"/>
    <w:rsid w:val="00D364FC"/>
    <w:rsid w:val="00D36957"/>
    <w:rsid w:val="00D36B92"/>
    <w:rsid w:val="00D36DF5"/>
    <w:rsid w:val="00D37165"/>
    <w:rsid w:val="00D3716C"/>
    <w:rsid w:val="00D37480"/>
    <w:rsid w:val="00D37C79"/>
    <w:rsid w:val="00D37D92"/>
    <w:rsid w:val="00D37DEB"/>
    <w:rsid w:val="00D37F43"/>
    <w:rsid w:val="00D37F63"/>
    <w:rsid w:val="00D40339"/>
    <w:rsid w:val="00D4040F"/>
    <w:rsid w:val="00D40628"/>
    <w:rsid w:val="00D40BF9"/>
    <w:rsid w:val="00D40C80"/>
    <w:rsid w:val="00D410D4"/>
    <w:rsid w:val="00D41C9B"/>
    <w:rsid w:val="00D420A7"/>
    <w:rsid w:val="00D42627"/>
    <w:rsid w:val="00D431C6"/>
    <w:rsid w:val="00D436A9"/>
    <w:rsid w:val="00D43FE6"/>
    <w:rsid w:val="00D45016"/>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8CF"/>
    <w:rsid w:val="00D54C50"/>
    <w:rsid w:val="00D55E5C"/>
    <w:rsid w:val="00D55EA0"/>
    <w:rsid w:val="00D568E3"/>
    <w:rsid w:val="00D56EE1"/>
    <w:rsid w:val="00D571EB"/>
    <w:rsid w:val="00D5737C"/>
    <w:rsid w:val="00D57718"/>
    <w:rsid w:val="00D577F6"/>
    <w:rsid w:val="00D57992"/>
    <w:rsid w:val="00D57F48"/>
    <w:rsid w:val="00D6016F"/>
    <w:rsid w:val="00D601BD"/>
    <w:rsid w:val="00D6032D"/>
    <w:rsid w:val="00D603B0"/>
    <w:rsid w:val="00D604E7"/>
    <w:rsid w:val="00D6055A"/>
    <w:rsid w:val="00D61397"/>
    <w:rsid w:val="00D61461"/>
    <w:rsid w:val="00D61597"/>
    <w:rsid w:val="00D61A36"/>
    <w:rsid w:val="00D61C38"/>
    <w:rsid w:val="00D61F14"/>
    <w:rsid w:val="00D62418"/>
    <w:rsid w:val="00D62826"/>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6797E"/>
    <w:rsid w:val="00D67A08"/>
    <w:rsid w:val="00D7036D"/>
    <w:rsid w:val="00D70FEA"/>
    <w:rsid w:val="00D713F7"/>
    <w:rsid w:val="00D71B64"/>
    <w:rsid w:val="00D721A2"/>
    <w:rsid w:val="00D7234C"/>
    <w:rsid w:val="00D7275D"/>
    <w:rsid w:val="00D7299D"/>
    <w:rsid w:val="00D72AA4"/>
    <w:rsid w:val="00D72AAE"/>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1E71"/>
    <w:rsid w:val="00D82016"/>
    <w:rsid w:val="00D82725"/>
    <w:rsid w:val="00D82AFA"/>
    <w:rsid w:val="00D82D5C"/>
    <w:rsid w:val="00D83BE9"/>
    <w:rsid w:val="00D83BEC"/>
    <w:rsid w:val="00D83E40"/>
    <w:rsid w:val="00D84146"/>
    <w:rsid w:val="00D84627"/>
    <w:rsid w:val="00D848E7"/>
    <w:rsid w:val="00D84944"/>
    <w:rsid w:val="00D84F67"/>
    <w:rsid w:val="00D85D28"/>
    <w:rsid w:val="00D85E68"/>
    <w:rsid w:val="00D85E72"/>
    <w:rsid w:val="00D865AA"/>
    <w:rsid w:val="00D86E33"/>
    <w:rsid w:val="00D86E6D"/>
    <w:rsid w:val="00D8700B"/>
    <w:rsid w:val="00D87037"/>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CA3"/>
    <w:rsid w:val="00D93D24"/>
    <w:rsid w:val="00D9400C"/>
    <w:rsid w:val="00D94591"/>
    <w:rsid w:val="00D95278"/>
    <w:rsid w:val="00D95C58"/>
    <w:rsid w:val="00D95DE0"/>
    <w:rsid w:val="00D95F0B"/>
    <w:rsid w:val="00D960E8"/>
    <w:rsid w:val="00D967A1"/>
    <w:rsid w:val="00D96E32"/>
    <w:rsid w:val="00D9722D"/>
    <w:rsid w:val="00D97435"/>
    <w:rsid w:val="00D9745C"/>
    <w:rsid w:val="00D9792F"/>
    <w:rsid w:val="00DA034B"/>
    <w:rsid w:val="00DA1B4B"/>
    <w:rsid w:val="00DA1C46"/>
    <w:rsid w:val="00DA1C95"/>
    <w:rsid w:val="00DA20D9"/>
    <w:rsid w:val="00DA2611"/>
    <w:rsid w:val="00DA27E3"/>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6C00"/>
    <w:rsid w:val="00DA71E4"/>
    <w:rsid w:val="00DA7720"/>
    <w:rsid w:val="00DA78BA"/>
    <w:rsid w:val="00DA7B2F"/>
    <w:rsid w:val="00DA7FA0"/>
    <w:rsid w:val="00DB03AF"/>
    <w:rsid w:val="00DB0F56"/>
    <w:rsid w:val="00DB0F96"/>
    <w:rsid w:val="00DB13C7"/>
    <w:rsid w:val="00DB17DE"/>
    <w:rsid w:val="00DB1941"/>
    <w:rsid w:val="00DB1EAF"/>
    <w:rsid w:val="00DB2B71"/>
    <w:rsid w:val="00DB2BA0"/>
    <w:rsid w:val="00DB2BF7"/>
    <w:rsid w:val="00DB32D9"/>
    <w:rsid w:val="00DB355F"/>
    <w:rsid w:val="00DB3AC9"/>
    <w:rsid w:val="00DB3B7E"/>
    <w:rsid w:val="00DB40D3"/>
    <w:rsid w:val="00DB41BD"/>
    <w:rsid w:val="00DB42EF"/>
    <w:rsid w:val="00DB445F"/>
    <w:rsid w:val="00DB466B"/>
    <w:rsid w:val="00DB4B95"/>
    <w:rsid w:val="00DB4EBD"/>
    <w:rsid w:val="00DB5393"/>
    <w:rsid w:val="00DB55AD"/>
    <w:rsid w:val="00DB5D1A"/>
    <w:rsid w:val="00DB5D71"/>
    <w:rsid w:val="00DB617E"/>
    <w:rsid w:val="00DB6794"/>
    <w:rsid w:val="00DB679B"/>
    <w:rsid w:val="00DB6AFE"/>
    <w:rsid w:val="00DB7167"/>
    <w:rsid w:val="00DB74B3"/>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2FC"/>
    <w:rsid w:val="00DD04C8"/>
    <w:rsid w:val="00DD0AD9"/>
    <w:rsid w:val="00DD15AE"/>
    <w:rsid w:val="00DD15C2"/>
    <w:rsid w:val="00DD1B6B"/>
    <w:rsid w:val="00DD1E81"/>
    <w:rsid w:val="00DD2207"/>
    <w:rsid w:val="00DD228D"/>
    <w:rsid w:val="00DD23AB"/>
    <w:rsid w:val="00DD28EC"/>
    <w:rsid w:val="00DD2DF5"/>
    <w:rsid w:val="00DD35E9"/>
    <w:rsid w:val="00DD35FA"/>
    <w:rsid w:val="00DD373B"/>
    <w:rsid w:val="00DD3804"/>
    <w:rsid w:val="00DD3DB1"/>
    <w:rsid w:val="00DD42B3"/>
    <w:rsid w:val="00DD4E79"/>
    <w:rsid w:val="00DD5233"/>
    <w:rsid w:val="00DD524A"/>
    <w:rsid w:val="00DD5476"/>
    <w:rsid w:val="00DD5CC3"/>
    <w:rsid w:val="00DD5CC4"/>
    <w:rsid w:val="00DD5CE3"/>
    <w:rsid w:val="00DD5F38"/>
    <w:rsid w:val="00DD60CB"/>
    <w:rsid w:val="00DD6551"/>
    <w:rsid w:val="00DD7A34"/>
    <w:rsid w:val="00DD7B62"/>
    <w:rsid w:val="00DE00E4"/>
    <w:rsid w:val="00DE02DE"/>
    <w:rsid w:val="00DE072B"/>
    <w:rsid w:val="00DE0897"/>
    <w:rsid w:val="00DE0DC8"/>
    <w:rsid w:val="00DE11E7"/>
    <w:rsid w:val="00DE12DA"/>
    <w:rsid w:val="00DE1C18"/>
    <w:rsid w:val="00DE290E"/>
    <w:rsid w:val="00DE2E10"/>
    <w:rsid w:val="00DE2E7E"/>
    <w:rsid w:val="00DE3084"/>
    <w:rsid w:val="00DE3200"/>
    <w:rsid w:val="00DE37A1"/>
    <w:rsid w:val="00DE3A55"/>
    <w:rsid w:val="00DE3B95"/>
    <w:rsid w:val="00DE4140"/>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4B7"/>
    <w:rsid w:val="00DF292B"/>
    <w:rsid w:val="00DF2DAA"/>
    <w:rsid w:val="00DF34E1"/>
    <w:rsid w:val="00DF4060"/>
    <w:rsid w:val="00DF4E48"/>
    <w:rsid w:val="00DF4E84"/>
    <w:rsid w:val="00DF579D"/>
    <w:rsid w:val="00DF5C8C"/>
    <w:rsid w:val="00DF604E"/>
    <w:rsid w:val="00DF6638"/>
    <w:rsid w:val="00DF69B6"/>
    <w:rsid w:val="00DF6DA4"/>
    <w:rsid w:val="00DF6DFE"/>
    <w:rsid w:val="00DF7296"/>
    <w:rsid w:val="00DF7A5D"/>
    <w:rsid w:val="00E00434"/>
    <w:rsid w:val="00E00B4F"/>
    <w:rsid w:val="00E010D6"/>
    <w:rsid w:val="00E0151B"/>
    <w:rsid w:val="00E019B8"/>
    <w:rsid w:val="00E01E77"/>
    <w:rsid w:val="00E0273B"/>
    <w:rsid w:val="00E02CEB"/>
    <w:rsid w:val="00E02F0C"/>
    <w:rsid w:val="00E036C3"/>
    <w:rsid w:val="00E038B2"/>
    <w:rsid w:val="00E039F7"/>
    <w:rsid w:val="00E03EA4"/>
    <w:rsid w:val="00E04063"/>
    <w:rsid w:val="00E040D9"/>
    <w:rsid w:val="00E0420F"/>
    <w:rsid w:val="00E042C2"/>
    <w:rsid w:val="00E045EC"/>
    <w:rsid w:val="00E04644"/>
    <w:rsid w:val="00E04B97"/>
    <w:rsid w:val="00E04D37"/>
    <w:rsid w:val="00E04DC9"/>
    <w:rsid w:val="00E04E20"/>
    <w:rsid w:val="00E04E2E"/>
    <w:rsid w:val="00E04F5D"/>
    <w:rsid w:val="00E05130"/>
    <w:rsid w:val="00E0561A"/>
    <w:rsid w:val="00E056F1"/>
    <w:rsid w:val="00E05A3E"/>
    <w:rsid w:val="00E05DC3"/>
    <w:rsid w:val="00E06582"/>
    <w:rsid w:val="00E06859"/>
    <w:rsid w:val="00E06AED"/>
    <w:rsid w:val="00E0735A"/>
    <w:rsid w:val="00E076D4"/>
    <w:rsid w:val="00E07954"/>
    <w:rsid w:val="00E079E5"/>
    <w:rsid w:val="00E07B26"/>
    <w:rsid w:val="00E07B8B"/>
    <w:rsid w:val="00E106AB"/>
    <w:rsid w:val="00E11081"/>
    <w:rsid w:val="00E11098"/>
    <w:rsid w:val="00E11240"/>
    <w:rsid w:val="00E11564"/>
    <w:rsid w:val="00E115C9"/>
    <w:rsid w:val="00E1165B"/>
    <w:rsid w:val="00E11B89"/>
    <w:rsid w:val="00E1216B"/>
    <w:rsid w:val="00E12392"/>
    <w:rsid w:val="00E128D2"/>
    <w:rsid w:val="00E12971"/>
    <w:rsid w:val="00E12D23"/>
    <w:rsid w:val="00E133D9"/>
    <w:rsid w:val="00E137E6"/>
    <w:rsid w:val="00E138D9"/>
    <w:rsid w:val="00E13A8D"/>
    <w:rsid w:val="00E14032"/>
    <w:rsid w:val="00E142CB"/>
    <w:rsid w:val="00E14880"/>
    <w:rsid w:val="00E149D2"/>
    <w:rsid w:val="00E14B66"/>
    <w:rsid w:val="00E14FB0"/>
    <w:rsid w:val="00E153AA"/>
    <w:rsid w:val="00E1559B"/>
    <w:rsid w:val="00E15629"/>
    <w:rsid w:val="00E157BC"/>
    <w:rsid w:val="00E15DB0"/>
    <w:rsid w:val="00E15EE6"/>
    <w:rsid w:val="00E1602A"/>
    <w:rsid w:val="00E16424"/>
    <w:rsid w:val="00E165E6"/>
    <w:rsid w:val="00E16B76"/>
    <w:rsid w:val="00E16E96"/>
    <w:rsid w:val="00E16FDE"/>
    <w:rsid w:val="00E171FD"/>
    <w:rsid w:val="00E172BA"/>
    <w:rsid w:val="00E1735D"/>
    <w:rsid w:val="00E17D93"/>
    <w:rsid w:val="00E20085"/>
    <w:rsid w:val="00E2062F"/>
    <w:rsid w:val="00E20D02"/>
    <w:rsid w:val="00E20D91"/>
    <w:rsid w:val="00E21410"/>
    <w:rsid w:val="00E215BE"/>
    <w:rsid w:val="00E21B06"/>
    <w:rsid w:val="00E21C8E"/>
    <w:rsid w:val="00E21F18"/>
    <w:rsid w:val="00E21F76"/>
    <w:rsid w:val="00E22206"/>
    <w:rsid w:val="00E223E2"/>
    <w:rsid w:val="00E22909"/>
    <w:rsid w:val="00E22A16"/>
    <w:rsid w:val="00E23B19"/>
    <w:rsid w:val="00E23C31"/>
    <w:rsid w:val="00E23F4B"/>
    <w:rsid w:val="00E24985"/>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464"/>
    <w:rsid w:val="00E30D26"/>
    <w:rsid w:val="00E31F00"/>
    <w:rsid w:val="00E32003"/>
    <w:rsid w:val="00E3204C"/>
    <w:rsid w:val="00E331BD"/>
    <w:rsid w:val="00E33D9C"/>
    <w:rsid w:val="00E342A7"/>
    <w:rsid w:val="00E34323"/>
    <w:rsid w:val="00E347B2"/>
    <w:rsid w:val="00E34F66"/>
    <w:rsid w:val="00E354BF"/>
    <w:rsid w:val="00E354E3"/>
    <w:rsid w:val="00E35A46"/>
    <w:rsid w:val="00E360EB"/>
    <w:rsid w:val="00E36351"/>
    <w:rsid w:val="00E363BF"/>
    <w:rsid w:val="00E36432"/>
    <w:rsid w:val="00E3673A"/>
    <w:rsid w:val="00E37514"/>
    <w:rsid w:val="00E375CA"/>
    <w:rsid w:val="00E37D23"/>
    <w:rsid w:val="00E40E46"/>
    <w:rsid w:val="00E417E7"/>
    <w:rsid w:val="00E41A9C"/>
    <w:rsid w:val="00E41C19"/>
    <w:rsid w:val="00E41E27"/>
    <w:rsid w:val="00E41F77"/>
    <w:rsid w:val="00E429F0"/>
    <w:rsid w:val="00E42A6C"/>
    <w:rsid w:val="00E42B58"/>
    <w:rsid w:val="00E42B90"/>
    <w:rsid w:val="00E4323D"/>
    <w:rsid w:val="00E432E4"/>
    <w:rsid w:val="00E43B06"/>
    <w:rsid w:val="00E440E7"/>
    <w:rsid w:val="00E446BC"/>
    <w:rsid w:val="00E45621"/>
    <w:rsid w:val="00E45738"/>
    <w:rsid w:val="00E45CC8"/>
    <w:rsid w:val="00E45E82"/>
    <w:rsid w:val="00E4630F"/>
    <w:rsid w:val="00E465A5"/>
    <w:rsid w:val="00E46B43"/>
    <w:rsid w:val="00E47331"/>
    <w:rsid w:val="00E47957"/>
    <w:rsid w:val="00E47DFE"/>
    <w:rsid w:val="00E50215"/>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378F"/>
    <w:rsid w:val="00E54260"/>
    <w:rsid w:val="00E5480C"/>
    <w:rsid w:val="00E549D2"/>
    <w:rsid w:val="00E54E9F"/>
    <w:rsid w:val="00E54ECA"/>
    <w:rsid w:val="00E55196"/>
    <w:rsid w:val="00E5556D"/>
    <w:rsid w:val="00E55727"/>
    <w:rsid w:val="00E55A08"/>
    <w:rsid w:val="00E55ACB"/>
    <w:rsid w:val="00E56084"/>
    <w:rsid w:val="00E563C4"/>
    <w:rsid w:val="00E56CA6"/>
    <w:rsid w:val="00E575A5"/>
    <w:rsid w:val="00E578CF"/>
    <w:rsid w:val="00E57CEC"/>
    <w:rsid w:val="00E57E32"/>
    <w:rsid w:val="00E57E88"/>
    <w:rsid w:val="00E57F17"/>
    <w:rsid w:val="00E6008D"/>
    <w:rsid w:val="00E604D5"/>
    <w:rsid w:val="00E61780"/>
    <w:rsid w:val="00E6182D"/>
    <w:rsid w:val="00E61A03"/>
    <w:rsid w:val="00E61B02"/>
    <w:rsid w:val="00E61D89"/>
    <w:rsid w:val="00E61D97"/>
    <w:rsid w:val="00E61F6B"/>
    <w:rsid w:val="00E62201"/>
    <w:rsid w:val="00E62D23"/>
    <w:rsid w:val="00E62DA1"/>
    <w:rsid w:val="00E62E0A"/>
    <w:rsid w:val="00E63147"/>
    <w:rsid w:val="00E643CC"/>
    <w:rsid w:val="00E64B92"/>
    <w:rsid w:val="00E64F73"/>
    <w:rsid w:val="00E65CAF"/>
    <w:rsid w:val="00E6656C"/>
    <w:rsid w:val="00E66945"/>
    <w:rsid w:val="00E6758A"/>
    <w:rsid w:val="00E67711"/>
    <w:rsid w:val="00E67AE6"/>
    <w:rsid w:val="00E67E76"/>
    <w:rsid w:val="00E70038"/>
    <w:rsid w:val="00E70136"/>
    <w:rsid w:val="00E70C93"/>
    <w:rsid w:val="00E715F5"/>
    <w:rsid w:val="00E71B90"/>
    <w:rsid w:val="00E71BFA"/>
    <w:rsid w:val="00E720A6"/>
    <w:rsid w:val="00E72308"/>
    <w:rsid w:val="00E7249E"/>
    <w:rsid w:val="00E7276B"/>
    <w:rsid w:val="00E72C9A"/>
    <w:rsid w:val="00E737D0"/>
    <w:rsid w:val="00E73849"/>
    <w:rsid w:val="00E73961"/>
    <w:rsid w:val="00E747DE"/>
    <w:rsid w:val="00E7491C"/>
    <w:rsid w:val="00E74D2C"/>
    <w:rsid w:val="00E754EB"/>
    <w:rsid w:val="00E757E2"/>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A82"/>
    <w:rsid w:val="00E81E2D"/>
    <w:rsid w:val="00E820DE"/>
    <w:rsid w:val="00E83797"/>
    <w:rsid w:val="00E83DF5"/>
    <w:rsid w:val="00E83EDE"/>
    <w:rsid w:val="00E83F10"/>
    <w:rsid w:val="00E84574"/>
    <w:rsid w:val="00E85415"/>
    <w:rsid w:val="00E85575"/>
    <w:rsid w:val="00E855F8"/>
    <w:rsid w:val="00E85818"/>
    <w:rsid w:val="00E859D8"/>
    <w:rsid w:val="00E866EA"/>
    <w:rsid w:val="00E8732B"/>
    <w:rsid w:val="00E87384"/>
    <w:rsid w:val="00E87877"/>
    <w:rsid w:val="00E87B27"/>
    <w:rsid w:val="00E903E8"/>
    <w:rsid w:val="00E90621"/>
    <w:rsid w:val="00E90910"/>
    <w:rsid w:val="00E90BFC"/>
    <w:rsid w:val="00E90C73"/>
    <w:rsid w:val="00E91099"/>
    <w:rsid w:val="00E917BC"/>
    <w:rsid w:val="00E917EB"/>
    <w:rsid w:val="00E922E2"/>
    <w:rsid w:val="00E92A5B"/>
    <w:rsid w:val="00E934AC"/>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39D"/>
    <w:rsid w:val="00EA27A8"/>
    <w:rsid w:val="00EA2EA7"/>
    <w:rsid w:val="00EA2FBF"/>
    <w:rsid w:val="00EA373F"/>
    <w:rsid w:val="00EA3964"/>
    <w:rsid w:val="00EA3F1B"/>
    <w:rsid w:val="00EA3FF0"/>
    <w:rsid w:val="00EA40C3"/>
    <w:rsid w:val="00EA4237"/>
    <w:rsid w:val="00EA4628"/>
    <w:rsid w:val="00EA484B"/>
    <w:rsid w:val="00EA4F65"/>
    <w:rsid w:val="00EA58C0"/>
    <w:rsid w:val="00EA5C4A"/>
    <w:rsid w:val="00EA5E80"/>
    <w:rsid w:val="00EA622B"/>
    <w:rsid w:val="00EA6634"/>
    <w:rsid w:val="00EA67BA"/>
    <w:rsid w:val="00EA702F"/>
    <w:rsid w:val="00EA744B"/>
    <w:rsid w:val="00EA74F0"/>
    <w:rsid w:val="00EA7D8A"/>
    <w:rsid w:val="00EB028F"/>
    <w:rsid w:val="00EB040F"/>
    <w:rsid w:val="00EB14A9"/>
    <w:rsid w:val="00EB161E"/>
    <w:rsid w:val="00EB1FC2"/>
    <w:rsid w:val="00EB1FEB"/>
    <w:rsid w:val="00EB20AD"/>
    <w:rsid w:val="00EB2204"/>
    <w:rsid w:val="00EB3094"/>
    <w:rsid w:val="00EB30AB"/>
    <w:rsid w:val="00EB3293"/>
    <w:rsid w:val="00EB39E2"/>
    <w:rsid w:val="00EB41EB"/>
    <w:rsid w:val="00EB422C"/>
    <w:rsid w:val="00EB4418"/>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2F41"/>
    <w:rsid w:val="00EC3285"/>
    <w:rsid w:val="00EC3BEF"/>
    <w:rsid w:val="00EC3D0C"/>
    <w:rsid w:val="00EC4692"/>
    <w:rsid w:val="00EC497D"/>
    <w:rsid w:val="00EC4B33"/>
    <w:rsid w:val="00EC5A74"/>
    <w:rsid w:val="00EC658B"/>
    <w:rsid w:val="00EC686A"/>
    <w:rsid w:val="00EC6D2A"/>
    <w:rsid w:val="00EC7658"/>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D7D31"/>
    <w:rsid w:val="00ED7EC7"/>
    <w:rsid w:val="00EE0A27"/>
    <w:rsid w:val="00EE0D1F"/>
    <w:rsid w:val="00EE0F38"/>
    <w:rsid w:val="00EE177C"/>
    <w:rsid w:val="00EE1CA5"/>
    <w:rsid w:val="00EE1F09"/>
    <w:rsid w:val="00EE24C2"/>
    <w:rsid w:val="00EE2A1E"/>
    <w:rsid w:val="00EE31EB"/>
    <w:rsid w:val="00EE3648"/>
    <w:rsid w:val="00EE3DFB"/>
    <w:rsid w:val="00EE3EA1"/>
    <w:rsid w:val="00EE4ACC"/>
    <w:rsid w:val="00EE4EF4"/>
    <w:rsid w:val="00EE5618"/>
    <w:rsid w:val="00EE5ED2"/>
    <w:rsid w:val="00EE606A"/>
    <w:rsid w:val="00EE644B"/>
    <w:rsid w:val="00EE6787"/>
    <w:rsid w:val="00EE68AC"/>
    <w:rsid w:val="00EE6959"/>
    <w:rsid w:val="00EE6C4B"/>
    <w:rsid w:val="00EE7035"/>
    <w:rsid w:val="00EE78FA"/>
    <w:rsid w:val="00EE7A9A"/>
    <w:rsid w:val="00EE7B2B"/>
    <w:rsid w:val="00EE7B6D"/>
    <w:rsid w:val="00EE7C1E"/>
    <w:rsid w:val="00EF0092"/>
    <w:rsid w:val="00EF0439"/>
    <w:rsid w:val="00EF0B07"/>
    <w:rsid w:val="00EF0ED4"/>
    <w:rsid w:val="00EF1319"/>
    <w:rsid w:val="00EF160B"/>
    <w:rsid w:val="00EF1C85"/>
    <w:rsid w:val="00EF1CCA"/>
    <w:rsid w:val="00EF2375"/>
    <w:rsid w:val="00EF2548"/>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579"/>
    <w:rsid w:val="00F011FD"/>
    <w:rsid w:val="00F016E7"/>
    <w:rsid w:val="00F017B8"/>
    <w:rsid w:val="00F02638"/>
    <w:rsid w:val="00F026E9"/>
    <w:rsid w:val="00F02B4E"/>
    <w:rsid w:val="00F02C23"/>
    <w:rsid w:val="00F02C66"/>
    <w:rsid w:val="00F0303F"/>
    <w:rsid w:val="00F031AE"/>
    <w:rsid w:val="00F03340"/>
    <w:rsid w:val="00F03394"/>
    <w:rsid w:val="00F0420E"/>
    <w:rsid w:val="00F042BF"/>
    <w:rsid w:val="00F052FD"/>
    <w:rsid w:val="00F054EE"/>
    <w:rsid w:val="00F05529"/>
    <w:rsid w:val="00F057CC"/>
    <w:rsid w:val="00F05838"/>
    <w:rsid w:val="00F059C3"/>
    <w:rsid w:val="00F05E0B"/>
    <w:rsid w:val="00F05ECF"/>
    <w:rsid w:val="00F062CA"/>
    <w:rsid w:val="00F064BD"/>
    <w:rsid w:val="00F064E3"/>
    <w:rsid w:val="00F06981"/>
    <w:rsid w:val="00F06E94"/>
    <w:rsid w:val="00F1018B"/>
    <w:rsid w:val="00F104A5"/>
    <w:rsid w:val="00F105BC"/>
    <w:rsid w:val="00F108D6"/>
    <w:rsid w:val="00F10B0F"/>
    <w:rsid w:val="00F10CD9"/>
    <w:rsid w:val="00F10FBD"/>
    <w:rsid w:val="00F11371"/>
    <w:rsid w:val="00F11433"/>
    <w:rsid w:val="00F114D3"/>
    <w:rsid w:val="00F118AE"/>
    <w:rsid w:val="00F12382"/>
    <w:rsid w:val="00F12568"/>
    <w:rsid w:val="00F132B6"/>
    <w:rsid w:val="00F1341A"/>
    <w:rsid w:val="00F136DC"/>
    <w:rsid w:val="00F13E60"/>
    <w:rsid w:val="00F13FA2"/>
    <w:rsid w:val="00F14209"/>
    <w:rsid w:val="00F14950"/>
    <w:rsid w:val="00F1497A"/>
    <w:rsid w:val="00F14A25"/>
    <w:rsid w:val="00F14CE5"/>
    <w:rsid w:val="00F15103"/>
    <w:rsid w:val="00F15367"/>
    <w:rsid w:val="00F15440"/>
    <w:rsid w:val="00F15A97"/>
    <w:rsid w:val="00F15AD2"/>
    <w:rsid w:val="00F15F5B"/>
    <w:rsid w:val="00F160B7"/>
    <w:rsid w:val="00F1659D"/>
    <w:rsid w:val="00F16DEE"/>
    <w:rsid w:val="00F1723B"/>
    <w:rsid w:val="00F17713"/>
    <w:rsid w:val="00F17798"/>
    <w:rsid w:val="00F17A0C"/>
    <w:rsid w:val="00F17D39"/>
    <w:rsid w:val="00F17E53"/>
    <w:rsid w:val="00F205F0"/>
    <w:rsid w:val="00F2062B"/>
    <w:rsid w:val="00F209A1"/>
    <w:rsid w:val="00F20C55"/>
    <w:rsid w:val="00F21B8D"/>
    <w:rsid w:val="00F21BED"/>
    <w:rsid w:val="00F21CC2"/>
    <w:rsid w:val="00F21EEC"/>
    <w:rsid w:val="00F21F02"/>
    <w:rsid w:val="00F21FD0"/>
    <w:rsid w:val="00F220D6"/>
    <w:rsid w:val="00F22325"/>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4FC3"/>
    <w:rsid w:val="00F2520D"/>
    <w:rsid w:val="00F258A7"/>
    <w:rsid w:val="00F258D6"/>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924"/>
    <w:rsid w:val="00F31A5C"/>
    <w:rsid w:val="00F31F0B"/>
    <w:rsid w:val="00F320FD"/>
    <w:rsid w:val="00F3214F"/>
    <w:rsid w:val="00F32478"/>
    <w:rsid w:val="00F32CD8"/>
    <w:rsid w:val="00F32F5E"/>
    <w:rsid w:val="00F33687"/>
    <w:rsid w:val="00F337D8"/>
    <w:rsid w:val="00F33C94"/>
    <w:rsid w:val="00F33D64"/>
    <w:rsid w:val="00F34288"/>
    <w:rsid w:val="00F35626"/>
    <w:rsid w:val="00F359F7"/>
    <w:rsid w:val="00F36150"/>
    <w:rsid w:val="00F364D8"/>
    <w:rsid w:val="00F36544"/>
    <w:rsid w:val="00F369D5"/>
    <w:rsid w:val="00F36D90"/>
    <w:rsid w:val="00F36F57"/>
    <w:rsid w:val="00F370D0"/>
    <w:rsid w:val="00F37252"/>
    <w:rsid w:val="00F37370"/>
    <w:rsid w:val="00F373B2"/>
    <w:rsid w:val="00F37432"/>
    <w:rsid w:val="00F374BF"/>
    <w:rsid w:val="00F375FC"/>
    <w:rsid w:val="00F37A7A"/>
    <w:rsid w:val="00F37B2B"/>
    <w:rsid w:val="00F37CF3"/>
    <w:rsid w:val="00F37FF4"/>
    <w:rsid w:val="00F40C57"/>
    <w:rsid w:val="00F41BB5"/>
    <w:rsid w:val="00F41F1D"/>
    <w:rsid w:val="00F42427"/>
    <w:rsid w:val="00F42F0D"/>
    <w:rsid w:val="00F433CD"/>
    <w:rsid w:val="00F43516"/>
    <w:rsid w:val="00F436DF"/>
    <w:rsid w:val="00F43D65"/>
    <w:rsid w:val="00F441EA"/>
    <w:rsid w:val="00F44464"/>
    <w:rsid w:val="00F44A6E"/>
    <w:rsid w:val="00F4516D"/>
    <w:rsid w:val="00F458F9"/>
    <w:rsid w:val="00F45F76"/>
    <w:rsid w:val="00F46449"/>
    <w:rsid w:val="00F46520"/>
    <w:rsid w:val="00F467BC"/>
    <w:rsid w:val="00F467C4"/>
    <w:rsid w:val="00F46A80"/>
    <w:rsid w:val="00F46AE7"/>
    <w:rsid w:val="00F47169"/>
    <w:rsid w:val="00F47257"/>
    <w:rsid w:val="00F473AE"/>
    <w:rsid w:val="00F50730"/>
    <w:rsid w:val="00F50AC0"/>
    <w:rsid w:val="00F50DC8"/>
    <w:rsid w:val="00F51942"/>
    <w:rsid w:val="00F51D3E"/>
    <w:rsid w:val="00F51D84"/>
    <w:rsid w:val="00F51FD1"/>
    <w:rsid w:val="00F52140"/>
    <w:rsid w:val="00F52483"/>
    <w:rsid w:val="00F52640"/>
    <w:rsid w:val="00F52F81"/>
    <w:rsid w:val="00F53157"/>
    <w:rsid w:val="00F533F8"/>
    <w:rsid w:val="00F53439"/>
    <w:rsid w:val="00F53506"/>
    <w:rsid w:val="00F5351A"/>
    <w:rsid w:val="00F5380C"/>
    <w:rsid w:val="00F53A57"/>
    <w:rsid w:val="00F54363"/>
    <w:rsid w:val="00F54744"/>
    <w:rsid w:val="00F54832"/>
    <w:rsid w:val="00F548E1"/>
    <w:rsid w:val="00F54C8D"/>
    <w:rsid w:val="00F54D17"/>
    <w:rsid w:val="00F54FA3"/>
    <w:rsid w:val="00F554E0"/>
    <w:rsid w:val="00F5566D"/>
    <w:rsid w:val="00F55682"/>
    <w:rsid w:val="00F55F79"/>
    <w:rsid w:val="00F55FF3"/>
    <w:rsid w:val="00F569CE"/>
    <w:rsid w:val="00F570F2"/>
    <w:rsid w:val="00F5713F"/>
    <w:rsid w:val="00F572E7"/>
    <w:rsid w:val="00F57388"/>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67E2"/>
    <w:rsid w:val="00F67292"/>
    <w:rsid w:val="00F672BA"/>
    <w:rsid w:val="00F67414"/>
    <w:rsid w:val="00F675B7"/>
    <w:rsid w:val="00F67656"/>
    <w:rsid w:val="00F676A4"/>
    <w:rsid w:val="00F67A8E"/>
    <w:rsid w:val="00F67B35"/>
    <w:rsid w:val="00F704D7"/>
    <w:rsid w:val="00F7052A"/>
    <w:rsid w:val="00F7080B"/>
    <w:rsid w:val="00F70966"/>
    <w:rsid w:val="00F70C28"/>
    <w:rsid w:val="00F70E0B"/>
    <w:rsid w:val="00F70E2E"/>
    <w:rsid w:val="00F71780"/>
    <w:rsid w:val="00F72207"/>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756"/>
    <w:rsid w:val="00F82816"/>
    <w:rsid w:val="00F83005"/>
    <w:rsid w:val="00F8359C"/>
    <w:rsid w:val="00F83FF0"/>
    <w:rsid w:val="00F844D1"/>
    <w:rsid w:val="00F84704"/>
    <w:rsid w:val="00F847BC"/>
    <w:rsid w:val="00F84BE0"/>
    <w:rsid w:val="00F8532A"/>
    <w:rsid w:val="00F85618"/>
    <w:rsid w:val="00F85EEA"/>
    <w:rsid w:val="00F85FE3"/>
    <w:rsid w:val="00F86253"/>
    <w:rsid w:val="00F86504"/>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4530"/>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C9"/>
    <w:rsid w:val="00FA41FD"/>
    <w:rsid w:val="00FA47C7"/>
    <w:rsid w:val="00FA4BF5"/>
    <w:rsid w:val="00FA4C0C"/>
    <w:rsid w:val="00FA561D"/>
    <w:rsid w:val="00FA5724"/>
    <w:rsid w:val="00FA603E"/>
    <w:rsid w:val="00FA612A"/>
    <w:rsid w:val="00FA63A0"/>
    <w:rsid w:val="00FA6854"/>
    <w:rsid w:val="00FA6C1C"/>
    <w:rsid w:val="00FA707D"/>
    <w:rsid w:val="00FA7688"/>
    <w:rsid w:val="00FA78C2"/>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B03"/>
    <w:rsid w:val="00FB4E76"/>
    <w:rsid w:val="00FB4FF4"/>
    <w:rsid w:val="00FB5288"/>
    <w:rsid w:val="00FB5576"/>
    <w:rsid w:val="00FB55F3"/>
    <w:rsid w:val="00FB58C9"/>
    <w:rsid w:val="00FB5D9D"/>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062"/>
    <w:rsid w:val="00FC229A"/>
    <w:rsid w:val="00FC25B9"/>
    <w:rsid w:val="00FC2E67"/>
    <w:rsid w:val="00FC31BF"/>
    <w:rsid w:val="00FC3234"/>
    <w:rsid w:val="00FC33BC"/>
    <w:rsid w:val="00FC3838"/>
    <w:rsid w:val="00FC3ED9"/>
    <w:rsid w:val="00FC3EE6"/>
    <w:rsid w:val="00FC46B8"/>
    <w:rsid w:val="00FC4A5C"/>
    <w:rsid w:val="00FC4EDF"/>
    <w:rsid w:val="00FC50DE"/>
    <w:rsid w:val="00FC5166"/>
    <w:rsid w:val="00FC5683"/>
    <w:rsid w:val="00FC5820"/>
    <w:rsid w:val="00FC624B"/>
    <w:rsid w:val="00FC6D6F"/>
    <w:rsid w:val="00FC6D8E"/>
    <w:rsid w:val="00FC6F57"/>
    <w:rsid w:val="00FC714E"/>
    <w:rsid w:val="00FD00B0"/>
    <w:rsid w:val="00FD02DB"/>
    <w:rsid w:val="00FD0698"/>
    <w:rsid w:val="00FD0D5A"/>
    <w:rsid w:val="00FD13BF"/>
    <w:rsid w:val="00FD18A3"/>
    <w:rsid w:val="00FD1E52"/>
    <w:rsid w:val="00FD1FB9"/>
    <w:rsid w:val="00FD20C6"/>
    <w:rsid w:val="00FD210C"/>
    <w:rsid w:val="00FD23CE"/>
    <w:rsid w:val="00FD29C1"/>
    <w:rsid w:val="00FD335C"/>
    <w:rsid w:val="00FD34AD"/>
    <w:rsid w:val="00FD34C0"/>
    <w:rsid w:val="00FD3CD8"/>
    <w:rsid w:val="00FD4032"/>
    <w:rsid w:val="00FD4101"/>
    <w:rsid w:val="00FD4202"/>
    <w:rsid w:val="00FD423F"/>
    <w:rsid w:val="00FD47C4"/>
    <w:rsid w:val="00FD4F6E"/>
    <w:rsid w:val="00FD5130"/>
    <w:rsid w:val="00FD515D"/>
    <w:rsid w:val="00FD51D9"/>
    <w:rsid w:val="00FD5A05"/>
    <w:rsid w:val="00FD6406"/>
    <w:rsid w:val="00FD6DBB"/>
    <w:rsid w:val="00FD7084"/>
    <w:rsid w:val="00FD784B"/>
    <w:rsid w:val="00FD7C47"/>
    <w:rsid w:val="00FE00CA"/>
    <w:rsid w:val="00FE02F5"/>
    <w:rsid w:val="00FE0348"/>
    <w:rsid w:val="00FE036A"/>
    <w:rsid w:val="00FE06B3"/>
    <w:rsid w:val="00FE0AC9"/>
    <w:rsid w:val="00FE1170"/>
    <w:rsid w:val="00FE18D8"/>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667"/>
    <w:rsid w:val="00FE6A17"/>
    <w:rsid w:val="00FE6DD3"/>
    <w:rsid w:val="00FE6E19"/>
    <w:rsid w:val="00FE6EC3"/>
    <w:rsid w:val="00FE6ED5"/>
    <w:rsid w:val="00FE6FF0"/>
    <w:rsid w:val="00FE7061"/>
    <w:rsid w:val="00FE70B2"/>
    <w:rsid w:val="00FE7768"/>
    <w:rsid w:val="00FF038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87B"/>
    <w:rsid w:val="00FF59D5"/>
    <w:rsid w:val="00FF5A4E"/>
    <w:rsid w:val="00FF5ACD"/>
    <w:rsid w:val="00FF5C9B"/>
    <w:rsid w:val="00FF6221"/>
    <w:rsid w:val="00FF6863"/>
    <w:rsid w:val="00FF69D7"/>
    <w:rsid w:val="00FF727E"/>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D21728"/>
  <w15:docId w15:val="{ED7AAA88-C50C-4736-B7B3-A9766946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
    <w:uiPriority w:val="99"/>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37514"/>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E37514"/>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2"/>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1"/>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3"/>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4"/>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5"/>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E934AC"/>
    <w:pPr>
      <w:keepNext/>
      <w:keepLines/>
      <w:numPr>
        <w:numId w:val="12"/>
      </w:numPr>
      <w:tabs>
        <w:tab w:val="left" w:pos="284"/>
        <w:tab w:val="left" w:pos="1560"/>
        <w:tab w:val="left" w:pos="1843"/>
      </w:tabs>
      <w:autoSpaceDE w:val="0"/>
      <w:autoSpaceDN w:val="0"/>
      <w:adjustRightInd w:val="0"/>
      <w:spacing w:after="120" w:line="276" w:lineRule="auto"/>
    </w:pPr>
    <w:rPr>
      <w:rFonts w:ascii="GHEA Grapalat" w:eastAsia="GHEA Grapalat" w:hAnsi="GHEA Grapalat" w:cs="GHEA Grapalat"/>
      <w:noProof/>
      <w:sz w:val="22"/>
      <w:szCs w:val="22"/>
      <w:lang w:val="hy-AM"/>
    </w:rPr>
  </w:style>
  <w:style w:type="character" w:customStyle="1" w:styleId="Char0">
    <w:name w:val="Գծապատկեր Char"/>
    <w:link w:val="a"/>
    <w:rsid w:val="00E934AC"/>
    <w:rPr>
      <w:rFonts w:ascii="GHEA Grapalat" w:eastAsia="GHEA Grapalat" w:hAnsi="GHEA Grapalat" w:cs="GHEA Grapalat"/>
      <w:noProof/>
      <w:sz w:val="22"/>
      <w:szCs w:val="22"/>
      <w:lang w:val="hy-AM"/>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6"/>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10"/>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3015">
      <w:bodyDiv w:val="1"/>
      <w:marLeft w:val="0"/>
      <w:marRight w:val="0"/>
      <w:marTop w:val="0"/>
      <w:marBottom w:val="0"/>
      <w:divBdr>
        <w:top w:val="none" w:sz="0" w:space="0" w:color="auto"/>
        <w:left w:val="none" w:sz="0" w:space="0" w:color="auto"/>
        <w:bottom w:val="none" w:sz="0" w:space="0" w:color="auto"/>
        <w:right w:val="none" w:sz="0" w:space="0" w:color="auto"/>
      </w:divBdr>
    </w:div>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6207699">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397286557">
      <w:bodyDiv w:val="1"/>
      <w:marLeft w:val="0"/>
      <w:marRight w:val="0"/>
      <w:marTop w:val="0"/>
      <w:marBottom w:val="0"/>
      <w:divBdr>
        <w:top w:val="none" w:sz="0" w:space="0" w:color="auto"/>
        <w:left w:val="none" w:sz="0" w:space="0" w:color="auto"/>
        <w:bottom w:val="none" w:sz="0" w:space="0" w:color="auto"/>
        <w:right w:val="none" w:sz="0" w:space="0" w:color="auto"/>
      </w:divBdr>
    </w:div>
    <w:div w:id="408037431">
      <w:bodyDiv w:val="1"/>
      <w:marLeft w:val="0"/>
      <w:marRight w:val="0"/>
      <w:marTop w:val="0"/>
      <w:marBottom w:val="0"/>
      <w:divBdr>
        <w:top w:val="none" w:sz="0" w:space="0" w:color="auto"/>
        <w:left w:val="none" w:sz="0" w:space="0" w:color="auto"/>
        <w:bottom w:val="none" w:sz="0" w:space="0" w:color="auto"/>
        <w:right w:val="none" w:sz="0" w:space="0" w:color="auto"/>
      </w:divBdr>
    </w:div>
    <w:div w:id="501822473">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59909397">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831726758">
      <w:bodyDiv w:val="1"/>
      <w:marLeft w:val="0"/>
      <w:marRight w:val="0"/>
      <w:marTop w:val="0"/>
      <w:marBottom w:val="0"/>
      <w:divBdr>
        <w:top w:val="none" w:sz="0" w:space="0" w:color="auto"/>
        <w:left w:val="none" w:sz="0" w:space="0" w:color="auto"/>
        <w:bottom w:val="none" w:sz="0" w:space="0" w:color="auto"/>
        <w:right w:val="none" w:sz="0" w:space="0" w:color="auto"/>
      </w:divBdr>
    </w:div>
    <w:div w:id="860970170">
      <w:bodyDiv w:val="1"/>
      <w:marLeft w:val="0"/>
      <w:marRight w:val="0"/>
      <w:marTop w:val="0"/>
      <w:marBottom w:val="0"/>
      <w:divBdr>
        <w:top w:val="none" w:sz="0" w:space="0" w:color="auto"/>
        <w:left w:val="none" w:sz="0" w:space="0" w:color="auto"/>
        <w:bottom w:val="none" w:sz="0" w:space="0" w:color="auto"/>
        <w:right w:val="none" w:sz="0" w:space="0" w:color="auto"/>
      </w:divBdr>
    </w:div>
    <w:div w:id="880286460">
      <w:bodyDiv w:val="1"/>
      <w:marLeft w:val="0"/>
      <w:marRight w:val="0"/>
      <w:marTop w:val="0"/>
      <w:marBottom w:val="0"/>
      <w:divBdr>
        <w:top w:val="none" w:sz="0" w:space="0" w:color="auto"/>
        <w:left w:val="none" w:sz="0" w:space="0" w:color="auto"/>
        <w:bottom w:val="none" w:sz="0" w:space="0" w:color="auto"/>
        <w:right w:val="none" w:sz="0" w:space="0" w:color="auto"/>
      </w:divBdr>
    </w:div>
    <w:div w:id="892082223">
      <w:bodyDiv w:val="1"/>
      <w:marLeft w:val="0"/>
      <w:marRight w:val="0"/>
      <w:marTop w:val="0"/>
      <w:marBottom w:val="0"/>
      <w:divBdr>
        <w:top w:val="none" w:sz="0" w:space="0" w:color="auto"/>
        <w:left w:val="none" w:sz="0" w:space="0" w:color="auto"/>
        <w:bottom w:val="none" w:sz="0" w:space="0" w:color="auto"/>
        <w:right w:val="none" w:sz="0" w:space="0" w:color="auto"/>
      </w:divBdr>
    </w:div>
    <w:div w:id="962467384">
      <w:bodyDiv w:val="1"/>
      <w:marLeft w:val="0"/>
      <w:marRight w:val="0"/>
      <w:marTop w:val="0"/>
      <w:marBottom w:val="0"/>
      <w:divBdr>
        <w:top w:val="none" w:sz="0" w:space="0" w:color="auto"/>
        <w:left w:val="none" w:sz="0" w:space="0" w:color="auto"/>
        <w:bottom w:val="none" w:sz="0" w:space="0" w:color="auto"/>
        <w:right w:val="none" w:sz="0" w:space="0" w:color="auto"/>
      </w:divBdr>
    </w:div>
    <w:div w:id="972833559">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084490818">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427186479">
      <w:bodyDiv w:val="1"/>
      <w:marLeft w:val="0"/>
      <w:marRight w:val="0"/>
      <w:marTop w:val="0"/>
      <w:marBottom w:val="0"/>
      <w:divBdr>
        <w:top w:val="none" w:sz="0" w:space="0" w:color="auto"/>
        <w:left w:val="none" w:sz="0" w:space="0" w:color="auto"/>
        <w:bottom w:val="none" w:sz="0" w:space="0" w:color="auto"/>
        <w:right w:val="none" w:sz="0" w:space="0" w:color="auto"/>
      </w:divBdr>
    </w:div>
    <w:div w:id="1487892847">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584874087">
      <w:bodyDiv w:val="1"/>
      <w:marLeft w:val="0"/>
      <w:marRight w:val="0"/>
      <w:marTop w:val="0"/>
      <w:marBottom w:val="0"/>
      <w:divBdr>
        <w:top w:val="none" w:sz="0" w:space="0" w:color="auto"/>
        <w:left w:val="none" w:sz="0" w:space="0" w:color="auto"/>
        <w:bottom w:val="none" w:sz="0" w:space="0" w:color="auto"/>
        <w:right w:val="none" w:sz="0" w:space="0" w:color="auto"/>
      </w:divBdr>
    </w:div>
    <w:div w:id="1650475403">
      <w:bodyDiv w:val="1"/>
      <w:marLeft w:val="0"/>
      <w:marRight w:val="0"/>
      <w:marTop w:val="0"/>
      <w:marBottom w:val="0"/>
      <w:divBdr>
        <w:top w:val="none" w:sz="0" w:space="0" w:color="auto"/>
        <w:left w:val="none" w:sz="0" w:space="0" w:color="auto"/>
        <w:bottom w:val="none" w:sz="0" w:space="0" w:color="auto"/>
        <w:right w:val="none" w:sz="0" w:space="0" w:color="auto"/>
      </w:divBdr>
    </w:div>
    <w:div w:id="1861238298">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1985694694">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 w:id="2046322055">
      <w:bodyDiv w:val="1"/>
      <w:marLeft w:val="0"/>
      <w:marRight w:val="0"/>
      <w:marTop w:val="0"/>
      <w:marBottom w:val="0"/>
      <w:divBdr>
        <w:top w:val="none" w:sz="0" w:space="0" w:color="auto"/>
        <w:left w:val="none" w:sz="0" w:space="0" w:color="auto"/>
        <w:bottom w:val="none" w:sz="0" w:space="0" w:color="auto"/>
        <w:right w:val="none" w:sz="0" w:space="0" w:color="auto"/>
      </w:divBdr>
    </w:div>
    <w:div w:id="2064016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onomy.gov.ru/material/file/bffc6cc5eadc71d91c685e2fe5908112/29102021.pdf" TargetMode="External"/><Relationship Id="rId2" Type="http://schemas.openxmlformats.org/officeDocument/2006/relationships/hyperlink" Target="http://www.stats.gov.cn/english/PressRelease/202210/t20221025_1889685.html" TargetMode="External"/><Relationship Id="rId1" Type="http://schemas.openxmlformats.org/officeDocument/2006/relationships/hyperlink" Target="https://ec.europa.eu/eurostat/documents/2995521/15131967/2-31102022-BP-EN.pdf" TargetMode="External"/><Relationship Id="rId5" Type="http://schemas.openxmlformats.org/officeDocument/2006/relationships/hyperlink" Target="https://www.fao.org/worldfoodsituation/foodpricesindex/en/" TargetMode="External"/><Relationship Id="rId4" Type="http://schemas.openxmlformats.org/officeDocument/2006/relationships/hyperlink" Target="https://www.worldbank.org/en/research/commodity-market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16.700000000000031</c:v>
                </c:pt>
                <c:pt idx="1">
                  <c:v>9.3203777289514278</c:v>
                </c:pt>
                <c:pt idx="2">
                  <c:v>3.4649554560304097</c:v>
                </c:pt>
                <c:pt idx="3">
                  <c:v>2.9757587775538497</c:v>
                </c:pt>
                <c:pt idx="4">
                  <c:v>2.8005207674161738</c:v>
                </c:pt>
                <c:pt idx="5">
                  <c:v>5.8797994866860677</c:v>
                </c:pt>
                <c:pt idx="6">
                  <c:v>7.0869489727112693</c:v>
                </c:pt>
                <c:pt idx="7">
                  <c:v>9.262687639037992</c:v>
                </c:pt>
                <c:pt idx="8">
                  <c:v>10</c:v>
                </c:pt>
              </c:numCache>
            </c:numRef>
          </c:val>
          <c:extLst>
            <c:ext xmlns:c16="http://schemas.microsoft.com/office/drawing/2014/chart" uri="{C3380CC4-5D6E-409C-BE32-E72D297353CC}">
              <c16:uniqueId val="{00000000-944A-46AE-A8F1-52FA6E9785B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General</c:formatCode>
                <c:ptCount val="9"/>
                <c:pt idx="2" formatCode="0.0">
                  <c:v>-5.4000000000000057</c:v>
                </c:pt>
                <c:pt idx="5" formatCode="0.0">
                  <c:v>-5.5</c:v>
                </c:pt>
                <c:pt idx="8" formatCode="0.0">
                  <c:v>-0.70000000000000284</c:v>
                </c:pt>
              </c:numCache>
            </c:numRef>
          </c:val>
          <c:extLst>
            <c:ext xmlns:c16="http://schemas.microsoft.com/office/drawing/2014/chart" uri="{C3380CC4-5D6E-409C-BE32-E72D297353CC}">
              <c16:uniqueId val="{00000001-944A-46AE-A8F1-52FA6E9785BF}"/>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3</c:v>
                </c:pt>
                <c:pt idx="1">
                  <c:v>4.9000000000000057</c:v>
                </c:pt>
                <c:pt idx="2">
                  <c:v>6.2000000000000028</c:v>
                </c:pt>
                <c:pt idx="3">
                  <c:v>9</c:v>
                </c:pt>
                <c:pt idx="4">
                  <c:v>11.400000000000006</c:v>
                </c:pt>
                <c:pt idx="5">
                  <c:v>12.700000000000003</c:v>
                </c:pt>
                <c:pt idx="6">
                  <c:v>13.599999999999994</c:v>
                </c:pt>
                <c:pt idx="7">
                  <c:v>14.200000000000003</c:v>
                </c:pt>
                <c:pt idx="8">
                  <c:v>14.299999999999997</c:v>
                </c:pt>
              </c:numCache>
            </c:numRef>
          </c:val>
          <c:extLst>
            <c:ext xmlns:c16="http://schemas.microsoft.com/office/drawing/2014/chart" uri="{C3380CC4-5D6E-409C-BE32-E72D297353CC}">
              <c16:uniqueId val="{00000002-944A-46AE-A8F1-52FA6E9785BF}"/>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21.200000000000003</c:v>
                </c:pt>
                <c:pt idx="1">
                  <c:v>20.074856909207895</c:v>
                </c:pt>
                <c:pt idx="2">
                  <c:v>22.165342918615721</c:v>
                </c:pt>
                <c:pt idx="3">
                  <c:v>23.481237998492645</c:v>
                </c:pt>
                <c:pt idx="4">
                  <c:v>24.935253478144688</c:v>
                </c:pt>
                <c:pt idx="5">
                  <c:v>26.876715804622606</c:v>
                </c:pt>
                <c:pt idx="6">
                  <c:v>27.470561442139712</c:v>
                </c:pt>
                <c:pt idx="7">
                  <c:v>27.15539464843593</c:v>
                </c:pt>
                <c:pt idx="8">
                  <c:v>27.099999999999994</c:v>
                </c:pt>
              </c:numCache>
            </c:numRef>
          </c:val>
          <c:extLst>
            <c:ext xmlns:c16="http://schemas.microsoft.com/office/drawing/2014/chart" uri="{C3380CC4-5D6E-409C-BE32-E72D297353CC}">
              <c16:uniqueId val="{00000003-944A-46AE-A8F1-52FA6E9785BF}"/>
            </c:ext>
          </c:extLst>
        </c:ser>
        <c:ser>
          <c:idx val="5"/>
          <c:order val="5"/>
          <c:tx>
            <c:strRef>
              <c:f>Sheet1!$A$7</c:f>
              <c:strCache>
                <c:ptCount val="1"/>
                <c:pt idx="0">
                  <c:v>առևտուր</c:v>
                </c:pt>
              </c:strCache>
            </c:strRef>
          </c:tx>
          <c:spPr>
            <a:solidFill>
              <a:srgbClr val="F7964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11.5</c:v>
                </c:pt>
                <c:pt idx="1">
                  <c:v>8.2000000000000028</c:v>
                </c:pt>
                <c:pt idx="2">
                  <c:v>7.5999999999999943</c:v>
                </c:pt>
                <c:pt idx="3">
                  <c:v>7.7999999999999972</c:v>
                </c:pt>
                <c:pt idx="4">
                  <c:v>8.9000000000000057</c:v>
                </c:pt>
                <c:pt idx="5">
                  <c:v>10.700000000000003</c:v>
                </c:pt>
                <c:pt idx="6">
                  <c:v>12.5</c:v>
                </c:pt>
                <c:pt idx="7">
                  <c:v>13.599999999999994</c:v>
                </c:pt>
                <c:pt idx="8">
                  <c:v>14.5</c:v>
                </c:pt>
              </c:numCache>
            </c:numRef>
          </c:val>
          <c:extLst>
            <c:ext xmlns:c16="http://schemas.microsoft.com/office/drawing/2014/chart" uri="{C3380CC4-5D6E-409C-BE32-E72D297353CC}">
              <c16:uniqueId val="{00000004-944A-46AE-A8F1-52FA6E9785BF}"/>
            </c:ext>
          </c:extLst>
        </c:ser>
        <c:dLbls>
          <c:showLegendKey val="0"/>
          <c:showVal val="0"/>
          <c:showCatName val="0"/>
          <c:showSerName val="0"/>
          <c:showPercent val="0"/>
          <c:showBubbleSize val="0"/>
        </c:dLbls>
        <c:gapWidth val="150"/>
        <c:axId val="339101568"/>
        <c:axId val="339103104"/>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44A-46AE-A8F1-52FA6E9785BF}"/>
                </c:ext>
              </c:extLst>
            </c:dLbl>
            <c:dLbl>
              <c:idx val="1"/>
              <c:layout>
                <c:manualLayout>
                  <c:x val="-9.0897729163879379E-2"/>
                  <c:y val="3.6835528937815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44A-46AE-A8F1-52FA6E9785BF}"/>
                </c:ext>
              </c:extLst>
            </c:dLbl>
            <c:dLbl>
              <c:idx val="2"/>
              <c:layout>
                <c:manualLayout>
                  <c:x val="-7.8425588430124232E-2"/>
                  <c:y val="3.977347393819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44A-46AE-A8F1-52FA6E9785BF}"/>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44A-46AE-A8F1-52FA6E9785BF}"/>
                </c:ext>
              </c:extLst>
            </c:dLbl>
            <c:dLbl>
              <c:idx val="4"/>
              <c:layout>
                <c:manualLayout>
                  <c:x val="-5.3560275541603718E-2"/>
                  <c:y val="3.216390016911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44A-46AE-A8F1-52FA6E9785BF}"/>
                </c:ext>
              </c:extLst>
            </c:dLbl>
            <c:dLbl>
              <c:idx val="5"/>
              <c:layout>
                <c:manualLayout>
                  <c:x val="-5.3874844591794521E-2"/>
                  <c:y val="4.4386936243092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44A-46AE-A8F1-52FA6E9785BF}"/>
                </c:ext>
              </c:extLst>
            </c:dLbl>
            <c:dLbl>
              <c:idx val="6"/>
              <c:layout>
                <c:manualLayout>
                  <c:x val="-5.8019063406547791E-2"/>
                  <c:y val="4.3222529810312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44A-46AE-A8F1-52FA6E9785BF}"/>
                </c:ext>
              </c:extLst>
            </c:dLbl>
            <c:dLbl>
              <c:idx val="7"/>
              <c:layout>
                <c:manualLayout>
                  <c:x val="-5.8019063406547867E-2"/>
                  <c:y val="4.26403265939226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44A-46AE-A8F1-52FA6E9785BF}"/>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44A-46AE-A8F1-52FA6E9785BF}"/>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4A-46AE-A8F1-52FA6E9785BF}"/>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14.799999999999997</c:v>
                </c:pt>
                <c:pt idx="1">
                  <c:v>11.365324375325088</c:v>
                </c:pt>
                <c:pt idx="2">
                  <c:v>9.6878250347076147</c:v>
                </c:pt>
                <c:pt idx="3">
                  <c:v>9.4435765420402191</c:v>
                </c:pt>
                <c:pt idx="4">
                  <c:v>10.223930190715876</c:v>
                </c:pt>
                <c:pt idx="5">
                  <c:v>11.812843284374239</c:v>
                </c:pt>
                <c:pt idx="6">
                  <c:v>13.099999999999994</c:v>
                </c:pt>
                <c:pt idx="7">
                  <c:v>13.953083534739633</c:v>
                </c:pt>
                <c:pt idx="8">
                  <c:v>14.099999999999994</c:v>
                </c:pt>
              </c:numCache>
            </c:numRef>
          </c:val>
          <c:smooth val="0"/>
          <c:extLst>
            <c:ext xmlns:c16="http://schemas.microsoft.com/office/drawing/2014/chart" uri="{C3380CC4-5D6E-409C-BE32-E72D297353CC}">
              <c16:uniqueId val="{0000000F-944A-46AE-A8F1-52FA6E9785BF}"/>
            </c:ext>
          </c:extLst>
        </c:ser>
        <c:dLbls>
          <c:showLegendKey val="0"/>
          <c:showVal val="0"/>
          <c:showCatName val="0"/>
          <c:showSerName val="0"/>
          <c:showPercent val="0"/>
          <c:showBubbleSize val="0"/>
        </c:dLbls>
        <c:marker val="1"/>
        <c:smooth val="0"/>
        <c:axId val="339122816"/>
        <c:axId val="339121280"/>
      </c:lineChart>
      <c:catAx>
        <c:axId val="339101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103104"/>
        <c:crosses val="autoZero"/>
        <c:auto val="1"/>
        <c:lblAlgn val="ctr"/>
        <c:lblOffset val="100"/>
        <c:noMultiLvlLbl val="0"/>
      </c:catAx>
      <c:valAx>
        <c:axId val="339103104"/>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101568"/>
        <c:crosses val="autoZero"/>
        <c:crossBetween val="between"/>
        <c:majorUnit val="6"/>
      </c:valAx>
      <c:valAx>
        <c:axId val="339121280"/>
        <c:scaling>
          <c:orientation val="minMax"/>
          <c:max val="16"/>
          <c:min val="0"/>
        </c:scaling>
        <c:delete val="0"/>
        <c:axPos val="r"/>
        <c:numFmt formatCode="0.0" sourceLinked="1"/>
        <c:majorTickMark val="out"/>
        <c:minorTickMark val="none"/>
        <c:tickLblPos val="nextTo"/>
        <c:crossAx val="339122816"/>
        <c:crosses val="max"/>
        <c:crossBetween val="between"/>
      </c:valAx>
      <c:catAx>
        <c:axId val="339122816"/>
        <c:scaling>
          <c:orientation val="minMax"/>
        </c:scaling>
        <c:delete val="1"/>
        <c:axPos val="b"/>
        <c:numFmt formatCode="General" sourceLinked="1"/>
        <c:majorTickMark val="out"/>
        <c:minorTickMark val="none"/>
        <c:tickLblPos val="nextTo"/>
        <c:crossAx val="3391212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54065215911414"/>
          <c:y val="0.13845041486275581"/>
          <c:w val="0.81581042935670778"/>
          <c:h val="0.52506752747860541"/>
        </c:manualLayout>
      </c:layout>
      <c:lineChart>
        <c:grouping val="standard"/>
        <c:varyColors val="0"/>
        <c:ser>
          <c:idx val="0"/>
          <c:order val="0"/>
          <c:tx>
            <c:strRef>
              <c:f>Sheet1!$A$4</c:f>
              <c:strCache>
                <c:ptCount val="1"/>
                <c:pt idx="0">
                  <c:v>Իրական փոփոխությունը (կուտակային),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9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Sheet1!$B$3:$J$3</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35.090132495728113</c:v>
                </c:pt>
                <c:pt idx="1">
                  <c:v>27.650958076916226</c:v>
                </c:pt>
                <c:pt idx="2">
                  <c:v>17.300664601258703</c:v>
                </c:pt>
                <c:pt idx="3">
                  <c:v>14.869927047353812</c:v>
                </c:pt>
                <c:pt idx="4">
                  <c:v>17.466517544902814</c:v>
                </c:pt>
                <c:pt idx="5">
                  <c:v>26.433436333321211</c:v>
                </c:pt>
                <c:pt idx="6">
                  <c:v>32.793177632747529</c:v>
                </c:pt>
                <c:pt idx="7">
                  <c:v>40.9138891941098</c:v>
                </c:pt>
                <c:pt idx="8">
                  <c:v>50.253367744401658</c:v>
                </c:pt>
              </c:numCache>
            </c:numRef>
          </c:val>
          <c:smooth val="0"/>
          <c:extLst>
            <c:ext xmlns:c16="http://schemas.microsoft.com/office/drawing/2014/chart" uri="{C3380CC4-5D6E-409C-BE32-E72D297353CC}">
              <c16:uniqueId val="{00000009-88E6-4B44-8F2B-045EF611F983}"/>
            </c:ext>
          </c:extLst>
        </c:ser>
        <c:ser>
          <c:idx val="1"/>
          <c:order val="1"/>
          <c:tx>
            <c:strRef>
              <c:f>Sheet1!$A$5</c:f>
              <c:strCache>
                <c:ptCount val="1"/>
                <c:pt idx="0">
                  <c:v>Գնային փոփոխություն (կուտակային), %</c:v>
                </c:pt>
              </c:strCache>
            </c:strRef>
          </c:tx>
          <c:spPr>
            <a:ln>
              <a:solidFill>
                <a:srgbClr val="C00000"/>
              </a:solidFill>
            </a:ln>
          </c:spPr>
          <c:marker>
            <c:spPr>
              <a:solidFill>
                <a:srgbClr val="C00000"/>
              </a:solidFill>
              <a:ln>
                <a:solidFill>
                  <a:srgbClr val="C00000"/>
                </a:solidFill>
              </a:ln>
            </c:spPr>
          </c:marker>
          <c:dLbls>
            <c:dLbl>
              <c:idx val="0"/>
              <c:layout>
                <c:manualLayout>
                  <c:x val="-6.4716694274887104E-2"/>
                  <c:y val="2.49861124582271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9F9-46D0-99D2-6859F7A1832C}"/>
                </c:ext>
              </c:extLst>
            </c:dLbl>
            <c:dLbl>
              <c:idx val="1"/>
              <c:layout>
                <c:manualLayout>
                  <c:x val="-7.6244071796500903E-2"/>
                  <c:y val="4.17834248882383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9F9-46D0-99D2-6859F7A1832C}"/>
                </c:ext>
              </c:extLst>
            </c:dLbl>
            <c:dLbl>
              <c:idx val="2"/>
              <c:layout>
                <c:manualLayout>
                  <c:x val="-7.7358384956923612E-2"/>
                  <c:y val="4.17834248882383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9F9-46D0-99D2-6859F7A1832C}"/>
                </c:ext>
              </c:extLst>
            </c:dLbl>
            <c:dLbl>
              <c:idx val="3"/>
              <c:layout>
                <c:manualLayout>
                  <c:x val="-7.3189165475353118E-2"/>
                  <c:y val="5.85807373182495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9F9-46D0-99D2-6859F7A1832C}"/>
                </c:ext>
              </c:extLst>
            </c:dLbl>
            <c:dLbl>
              <c:idx val="4"/>
              <c:layout>
                <c:manualLayout>
                  <c:x val="-7.3266014658830467E-2"/>
                  <c:y val="5.29816331749124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9F9-46D0-99D2-6859F7A1832C}"/>
                </c:ext>
              </c:extLst>
            </c:dLbl>
            <c:dLbl>
              <c:idx val="5"/>
              <c:layout>
                <c:manualLayout>
                  <c:x val="-5.9980636426210411E-2"/>
                  <c:y val="4.7866609059085977E-2"/>
                </c:manualLayout>
              </c:layout>
              <c:spPr>
                <a:noFill/>
                <a:ln>
                  <a:noFill/>
                </a:ln>
                <a:effectLst/>
              </c:spPr>
              <c:txPr>
                <a:bodyPr wrap="square" lIns="38100" tIns="19050" rIns="38100" bIns="19050" anchor="ctr">
                  <a:noAutofit/>
                </a:bodyPr>
                <a:lstStyle/>
                <a:p>
                  <a:pPr>
                    <a:defRPr sz="900" i="0"/>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4207341517468795E-2"/>
                      <c:h val="9.5604923684651399E-2"/>
                    </c:manualLayout>
                  </c15:layout>
                </c:ext>
                <c:ext xmlns:c16="http://schemas.microsoft.com/office/drawing/2014/chart" uri="{C3380CC4-5D6E-409C-BE32-E72D297353CC}">
                  <c16:uniqueId val="{0000000A-88E6-4B44-8F2B-045EF611F983}"/>
                </c:ext>
              </c:extLst>
            </c:dLbl>
            <c:spPr>
              <a:noFill/>
              <a:ln>
                <a:noFill/>
              </a:ln>
              <a:effectLst/>
            </c:spPr>
            <c:txPr>
              <a:bodyPr wrap="square" lIns="38100" tIns="19050" rIns="38100" bIns="19050" anchor="ctr">
                <a:spAutoFit/>
              </a:bodyPr>
              <a:lstStyle/>
              <a:p>
                <a:pPr>
                  <a:defRPr sz="900" i="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Sheet1!$B$3:$J$3</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Sheet1!$B$5:$J$5</c:f>
              <c:numCache>
                <c:formatCode>0.0</c:formatCode>
                <c:ptCount val="9"/>
                <c:pt idx="0">
                  <c:v>4.0250334732673281</c:v>
                </c:pt>
                <c:pt idx="1">
                  <c:v>1.1521405780693641</c:v>
                </c:pt>
                <c:pt idx="2">
                  <c:v>0.5394793918080012</c:v>
                </c:pt>
                <c:pt idx="3">
                  <c:v>0.5459646368703801</c:v>
                </c:pt>
                <c:pt idx="4">
                  <c:v>-1.0276291195431497</c:v>
                </c:pt>
                <c:pt idx="5">
                  <c:v>-3.1442912821501636</c:v>
                </c:pt>
                <c:pt idx="6">
                  <c:v>-3.5517711345587344</c:v>
                </c:pt>
                <c:pt idx="7">
                  <c:v>-4.2454561086719877</c:v>
                </c:pt>
                <c:pt idx="8">
                  <c:v>-4.4108754349512225</c:v>
                </c:pt>
              </c:numCache>
            </c:numRef>
          </c:val>
          <c:smooth val="0"/>
          <c:extLst>
            <c:ext xmlns:c16="http://schemas.microsoft.com/office/drawing/2014/chart" uri="{C3380CC4-5D6E-409C-BE32-E72D297353CC}">
              <c16:uniqueId val="{0000000B-88E6-4B44-8F2B-045EF611F983}"/>
            </c:ext>
          </c:extLst>
        </c:ser>
        <c:ser>
          <c:idx val="2"/>
          <c:order val="2"/>
          <c:tx>
            <c:strRef>
              <c:f>Sheet1!$A$6</c:f>
              <c:strCache>
                <c:ptCount val="1"/>
                <c:pt idx="0">
                  <c:v>Փոխարժեքի փոփոխություն (կուտակային), %</c:v>
                </c:pt>
              </c:strCache>
            </c:strRef>
          </c:tx>
          <c:spPr>
            <a:ln>
              <a:solidFill>
                <a:srgbClr val="F79646">
                  <a:lumMod val="75000"/>
                </a:srgbClr>
              </a:solidFill>
            </a:ln>
          </c:spPr>
          <c:marker>
            <c:spPr>
              <a:solidFill>
                <a:srgbClr val="F79646"/>
              </a:solidFill>
              <a:ln>
                <a:solidFill>
                  <a:srgbClr val="F79646">
                    <a:lumMod val="75000"/>
                  </a:srgbClr>
                </a:solidFill>
              </a:ln>
            </c:spPr>
          </c:marker>
          <c:dLbls>
            <c:spPr>
              <a:noFill/>
              <a:ln>
                <a:noFill/>
              </a:ln>
              <a:effectLst/>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Sheet1!$B$3:$J$3</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Sheet1!$B$6:$J$6</c:f>
              <c:numCache>
                <c:formatCode>0.0</c:formatCode>
                <c:ptCount val="9"/>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14.071924546630484</c:v>
                </c:pt>
              </c:numCache>
            </c:numRef>
          </c:val>
          <c:smooth val="0"/>
          <c:extLst>
            <c:ext xmlns:c16="http://schemas.microsoft.com/office/drawing/2014/chart" uri="{C3380CC4-5D6E-409C-BE32-E72D297353CC}">
              <c16:uniqueId val="{0000000E-88E6-4B44-8F2B-045EF611F983}"/>
            </c:ext>
          </c:extLst>
        </c:ser>
        <c:dLbls>
          <c:showLegendKey val="0"/>
          <c:showVal val="0"/>
          <c:showCatName val="0"/>
          <c:showSerName val="0"/>
          <c:showPercent val="0"/>
          <c:showBubbleSize val="0"/>
        </c:dLbls>
        <c:marker val="1"/>
        <c:smooth val="0"/>
        <c:axId val="340527360"/>
        <c:axId val="340574208"/>
      </c:lineChart>
      <c:catAx>
        <c:axId val="340527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574208"/>
        <c:crosses val="autoZero"/>
        <c:auto val="1"/>
        <c:lblAlgn val="ctr"/>
        <c:lblOffset val="100"/>
        <c:noMultiLvlLbl val="0"/>
      </c:catAx>
      <c:valAx>
        <c:axId val="340574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527360"/>
        <c:crosses val="autoZero"/>
        <c:crossBetween val="between"/>
      </c:valAx>
      <c:spPr>
        <a:solidFill>
          <a:sysClr val="window" lastClr="FFFFFF"/>
        </a:solidFill>
        <a:ln>
          <a:noFill/>
        </a:ln>
        <a:effectLst/>
      </c:spPr>
    </c:plotArea>
    <c:legend>
      <c:legendPos val="b"/>
      <c:layout>
        <c:manualLayout>
          <c:xMode val="edge"/>
          <c:yMode val="edge"/>
          <c:x val="0"/>
          <c:y val="0.8286099822199644"/>
          <c:w val="0.86902403565685216"/>
          <c:h val="0.171390017780035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57280051435102874"/>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1"/>
              <c:layout>
                <c:manualLayout>
                  <c:x val="-7.3972390619314182E-2"/>
                  <c:y val="5.38924795654732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7E-4274-8A73-49BB754FDA71}"/>
                </c:ext>
              </c:extLst>
            </c:dLbl>
            <c:dLbl>
              <c:idx val="2"/>
              <c:layout>
                <c:manualLayout>
                  <c:x val="-5.9655773116856006E-2"/>
                  <c:y val="-2.26062727601379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67E-4274-8A73-49BB754FDA71}"/>
                </c:ext>
              </c:extLst>
            </c:dLbl>
            <c:spPr>
              <a:noFill/>
              <a:ln>
                <a:noFill/>
              </a:ln>
              <a:effectLst/>
            </c:spPr>
            <c:txPr>
              <a:bodyPr wrap="square" lIns="38100" tIns="19050" rIns="38100" bIns="19050" anchor="ctr">
                <a:spAutoFit/>
              </a:bodyPr>
              <a:lstStyle/>
              <a:p>
                <a:pPr>
                  <a:defRPr sz="900" i="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51.959505282485623</c:v>
                </c:pt>
                <c:pt idx="1">
                  <c:v>30.390248339643534</c:v>
                </c:pt>
                <c:pt idx="2">
                  <c:v>5.2719718651256642</c:v>
                </c:pt>
                <c:pt idx="3">
                  <c:v>21.866057092576739</c:v>
                </c:pt>
                <c:pt idx="4">
                  <c:v>33.942595409707224</c:v>
                </c:pt>
                <c:pt idx="5">
                  <c:v>69.656472612737559</c:v>
                </c:pt>
                <c:pt idx="6">
                  <c:v>84.312114222172568</c:v>
                </c:pt>
                <c:pt idx="7">
                  <c:v>107.41296425688455</c:v>
                </c:pt>
                <c:pt idx="8">
                  <c:v>152.91472740059044</c:v>
                </c:pt>
              </c:numCache>
            </c:numRef>
          </c:val>
          <c:smooth val="0"/>
          <c:extLst>
            <c:ext xmlns:c16="http://schemas.microsoft.com/office/drawing/2014/chart" uri="{C3380CC4-5D6E-409C-BE32-E72D297353CC}">
              <c16:uniqueId val="{00000001-6DE2-412F-8950-300AFFD16309}"/>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2-6DE2-412F-8950-300AFFD16309}"/>
                </c:ext>
              </c:extLst>
            </c:dLbl>
            <c:dLbl>
              <c:idx val="1"/>
              <c:layout>
                <c:manualLayout>
                  <c:x val="-8.6184934847745837E-2"/>
                  <c:y val="-7.81771609455872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67E-4274-8A73-49BB754FDA71}"/>
                </c:ext>
              </c:extLst>
            </c:dLbl>
            <c:dLbl>
              <c:idx val="2"/>
              <c:layout>
                <c:manualLayout>
                  <c:x val="-5.279260446426505E-2"/>
                  <c:y val="-4.45825360855648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67E-4274-8A73-49BB754FDA71}"/>
                </c:ext>
              </c:extLst>
            </c:dLbl>
            <c:spPr>
              <a:noFill/>
              <a:ln>
                <a:noFill/>
              </a:ln>
              <a:effectLst/>
            </c:spPr>
            <c:txPr>
              <a:bodyPr wrap="square" lIns="38100" tIns="19050" rIns="38100" bIns="19050" anchor="ctr">
                <a:spAutoFit/>
              </a:bodyPr>
              <a:lstStyle/>
              <a:p>
                <a:pPr>
                  <a:defRPr sz="900" b="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51.900000000000006</c:v>
                </c:pt>
                <c:pt idx="1">
                  <c:v>40.116632221006938</c:v>
                </c:pt>
                <c:pt idx="2">
                  <c:v>27.05113819300054</c:v>
                </c:pt>
                <c:pt idx="3">
                  <c:v>25.528229226286896</c:v>
                </c:pt>
                <c:pt idx="4">
                  <c:v>27.59615941920957</c:v>
                </c:pt>
                <c:pt idx="5">
                  <c:v>36.532406008691993</c:v>
                </c:pt>
                <c:pt idx="6">
                  <c:v>44.091426904058835</c:v>
                </c:pt>
                <c:pt idx="7">
                  <c:v>53.281214090614526</c:v>
                </c:pt>
                <c:pt idx="8">
                  <c:v>63.782173607364342</c:v>
                </c:pt>
              </c:numCache>
            </c:numRef>
          </c:val>
          <c:smooth val="0"/>
          <c:extLst>
            <c:ext xmlns:c16="http://schemas.microsoft.com/office/drawing/2014/chart" uri="{C3380CC4-5D6E-409C-BE32-E72D297353CC}">
              <c16:uniqueId val="{00000003-6DE2-412F-8950-300AFFD16309}"/>
            </c:ext>
          </c:extLst>
        </c:ser>
        <c:dLbls>
          <c:showLegendKey val="0"/>
          <c:showVal val="0"/>
          <c:showCatName val="0"/>
          <c:showSerName val="0"/>
          <c:showPercent val="0"/>
          <c:showBubbleSize val="0"/>
        </c:dLbls>
        <c:marker val="1"/>
        <c:smooth val="0"/>
        <c:axId val="340064128"/>
        <c:axId val="340065664"/>
      </c:lineChart>
      <c:catAx>
        <c:axId val="340064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065664"/>
        <c:crosses val="autoZero"/>
        <c:auto val="1"/>
        <c:lblAlgn val="ctr"/>
        <c:lblOffset val="100"/>
        <c:noMultiLvlLbl val="0"/>
      </c:catAx>
      <c:valAx>
        <c:axId val="340065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064128"/>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744250363453E-2"/>
          <c:y val="0.84100600076200149"/>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1891551724543548"/>
        </c:manualLayout>
      </c:layout>
      <c:lineChart>
        <c:grouping val="standard"/>
        <c:varyColors val="0"/>
        <c:ser>
          <c:idx val="0"/>
          <c:order val="0"/>
          <c:tx>
            <c:strRef>
              <c:f>Sheet1!$A$2</c:f>
              <c:strCache>
                <c:ptCount val="1"/>
                <c:pt idx="0">
                  <c:v>Իրական փոփոխությունը (կուտակային),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9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38.304513539334948</c:v>
                </c:pt>
                <c:pt idx="1">
                  <c:v>36.2922374584777</c:v>
                </c:pt>
                <c:pt idx="2">
                  <c:v>24.091800559722799</c:v>
                </c:pt>
                <c:pt idx="3">
                  <c:v>16.429091822463562</c:v>
                </c:pt>
                <c:pt idx="4">
                  <c:v>18.917388091994127</c:v>
                </c:pt>
                <c:pt idx="5">
                  <c:v>22.203744992660987</c:v>
                </c:pt>
                <c:pt idx="6">
                  <c:v>23.169443562814351</c:v>
                </c:pt>
                <c:pt idx="7">
                  <c:v>29.290478727591335</c:v>
                </c:pt>
                <c:pt idx="8">
                  <c:v>32.6</c:v>
                </c:pt>
              </c:numCache>
            </c:numRef>
          </c:val>
          <c:smooth val="0"/>
          <c:extLst>
            <c:ext xmlns:c16="http://schemas.microsoft.com/office/drawing/2014/chart" uri="{C3380CC4-5D6E-409C-BE32-E72D297353CC}">
              <c16:uniqueId val="{00000009-7221-4DD4-B0B9-8258C35CCD4A}"/>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6.1003156276624469E-2"/>
                  <c:y val="-5.95305703309345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74B-46B2-A3E5-4F34E26C9434}"/>
                </c:ext>
              </c:extLst>
            </c:dLbl>
            <c:spPr>
              <a:noFill/>
              <a:ln>
                <a:noFill/>
              </a:ln>
              <a:effectLst/>
            </c:spPr>
            <c:txPr>
              <a:bodyPr wrap="square" lIns="38100" tIns="19050" rIns="38100" bIns="19050" anchor="ctr">
                <a:spAutoFit/>
              </a:bodyPr>
              <a:lstStyle/>
              <a:p>
                <a:pPr>
                  <a:defRPr sz="900" i="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11.687863985777881</c:v>
                </c:pt>
                <c:pt idx="1">
                  <c:v>8.1741458029670184</c:v>
                </c:pt>
                <c:pt idx="2">
                  <c:v>8.7689970648203683</c:v>
                </c:pt>
                <c:pt idx="3">
                  <c:v>9.7285562496348206</c:v>
                </c:pt>
                <c:pt idx="4">
                  <c:v>9.3024867090385044</c:v>
                </c:pt>
                <c:pt idx="5">
                  <c:v>8.6951225814600406</c:v>
                </c:pt>
                <c:pt idx="6">
                  <c:v>8.5902435062092053</c:v>
                </c:pt>
                <c:pt idx="7">
                  <c:v>7.8632418285072845</c:v>
                </c:pt>
                <c:pt idx="8">
                  <c:v>6.7486527528329958</c:v>
                </c:pt>
              </c:numCache>
            </c:numRef>
          </c:val>
          <c:smooth val="0"/>
          <c:extLst>
            <c:ext xmlns:c16="http://schemas.microsoft.com/office/drawing/2014/chart" uri="{C3380CC4-5D6E-409C-BE32-E72D297353CC}">
              <c16:uniqueId val="{0000000A-7221-4DD4-B0B9-8258C35CCD4A}"/>
            </c:ext>
          </c:extLst>
        </c:ser>
        <c:ser>
          <c:idx val="2"/>
          <c:order val="2"/>
          <c:tx>
            <c:strRef>
              <c:f>Sheet1!$A$4</c:f>
              <c:strCache>
                <c:ptCount val="1"/>
                <c:pt idx="0">
                  <c:v>Փոխարժեքի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900">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14.0919245466305</c:v>
                </c:pt>
              </c:numCache>
            </c:numRef>
          </c:val>
          <c:smooth val="0"/>
          <c:extLst>
            <c:ext xmlns:c16="http://schemas.microsoft.com/office/drawing/2014/chart" uri="{C3380CC4-5D6E-409C-BE32-E72D297353CC}">
              <c16:uniqueId val="{0000000B-7221-4DD4-B0B9-8258C35CCD4A}"/>
            </c:ext>
          </c:extLst>
        </c:ser>
        <c:dLbls>
          <c:showLegendKey val="0"/>
          <c:showVal val="0"/>
          <c:showCatName val="0"/>
          <c:showSerName val="0"/>
          <c:showPercent val="0"/>
          <c:showBubbleSize val="0"/>
        </c:dLbls>
        <c:marker val="1"/>
        <c:smooth val="0"/>
        <c:axId val="340395136"/>
        <c:axId val="340396672"/>
      </c:lineChart>
      <c:catAx>
        <c:axId val="340395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396672"/>
        <c:crosses val="autoZero"/>
        <c:auto val="1"/>
        <c:lblAlgn val="ctr"/>
        <c:lblOffset val="100"/>
        <c:noMultiLvlLbl val="0"/>
      </c:catAx>
      <c:valAx>
        <c:axId val="340396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395136"/>
        <c:crosses val="autoZero"/>
        <c:crossBetween val="between"/>
      </c:valAx>
      <c:spPr>
        <a:solidFill>
          <a:sysClr val="window" lastClr="FFFFFF"/>
        </a:solidFill>
        <a:ln>
          <a:noFill/>
        </a:ln>
        <a:effectLst/>
      </c:spPr>
    </c:plotArea>
    <c:legend>
      <c:legendPos val="b"/>
      <c:layout>
        <c:manualLayout>
          <c:xMode val="edge"/>
          <c:yMode val="edge"/>
          <c:x val="1.290348140444713E-2"/>
          <c:y val="0.82721774193548392"/>
          <c:w val="0.80630353389283804"/>
          <c:h val="0.17278225806451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15E-2"/>
          <c:w val="0.8276788167061242"/>
          <c:h val="0.60938412814325627"/>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900" i="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67.327717860303352</c:v>
                </c:pt>
                <c:pt idx="1">
                  <c:v>54.646726544830386</c:v>
                </c:pt>
                <c:pt idx="2">
                  <c:v>22.612542170209025</c:v>
                </c:pt>
                <c:pt idx="3">
                  <c:v>24.028660875376488</c:v>
                </c:pt>
                <c:pt idx="4">
                  <c:v>54.838444058874785</c:v>
                </c:pt>
                <c:pt idx="5">
                  <c:v>71.168337087578692</c:v>
                </c:pt>
                <c:pt idx="6">
                  <c:v>61.842090897361032</c:v>
                </c:pt>
                <c:pt idx="7">
                  <c:v>106.42107401149511</c:v>
                </c:pt>
                <c:pt idx="8">
                  <c:v>82.234587759932822</c:v>
                </c:pt>
              </c:numCache>
            </c:numRef>
          </c:val>
          <c:smooth val="0"/>
          <c:extLst>
            <c:ext xmlns:c16="http://schemas.microsoft.com/office/drawing/2014/chart" uri="{C3380CC4-5D6E-409C-BE32-E72D297353CC}">
              <c16:uniqueId val="{00000000-0B9B-40F2-8FBA-DA8CE5B77002}"/>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sz="900" b="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67.327717860303352</c:v>
                </c:pt>
                <c:pt idx="1">
                  <c:v>60.224859512401906</c:v>
                </c:pt>
                <c:pt idx="2">
                  <c:v>45.557067373020175</c:v>
                </c:pt>
                <c:pt idx="3">
                  <c:v>38.962853920093522</c:v>
                </c:pt>
                <c:pt idx="4">
                  <c:v>42.753403761938216</c:v>
                </c:pt>
                <c:pt idx="5">
                  <c:v>48.202681268065561</c:v>
                </c:pt>
                <c:pt idx="6">
                  <c:v>50.586586238792279</c:v>
                </c:pt>
                <c:pt idx="7">
                  <c:v>58.378859228177447</c:v>
                </c:pt>
                <c:pt idx="8">
                  <c:v>61.635216167680682</c:v>
                </c:pt>
              </c:numCache>
            </c:numRef>
          </c:val>
          <c:smooth val="0"/>
          <c:extLst>
            <c:ext xmlns:c16="http://schemas.microsoft.com/office/drawing/2014/chart" uri="{C3380CC4-5D6E-409C-BE32-E72D297353CC}">
              <c16:uniqueId val="{00000003-0B9B-40F2-8FBA-DA8CE5B77002}"/>
            </c:ext>
          </c:extLst>
        </c:ser>
        <c:dLbls>
          <c:dLblPos val="t"/>
          <c:showLegendKey val="0"/>
          <c:showVal val="1"/>
          <c:showCatName val="0"/>
          <c:showSerName val="0"/>
          <c:showPercent val="0"/>
          <c:showBubbleSize val="0"/>
        </c:dLbls>
        <c:marker val="1"/>
        <c:smooth val="0"/>
        <c:axId val="340470016"/>
        <c:axId val="340484096"/>
      </c:lineChart>
      <c:catAx>
        <c:axId val="3404700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484096"/>
        <c:crosses val="autoZero"/>
        <c:auto val="1"/>
        <c:lblAlgn val="ctr"/>
        <c:lblOffset val="100"/>
        <c:noMultiLvlLbl val="0"/>
      </c:catAx>
      <c:valAx>
        <c:axId val="340484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470016"/>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3145994729489459"/>
          <c:w val="0.97802150537634414"/>
          <c:h val="0.15032980378460756"/>
        </c:manualLayout>
      </c:layout>
      <c:overlay val="0"/>
      <c:spPr>
        <a:noFill/>
        <a:ln>
          <a:noFill/>
        </a:ln>
        <a:effectLst/>
      </c:spPr>
      <c:txPr>
        <a:bodyPr rot="0" spcFirstLastPara="1" vertOverflow="ellipsis" vert="horz" wrap="square" anchor="ctr" anchorCtr="1"/>
        <a:lstStyle/>
        <a:p>
          <a:pPr>
            <a:defRPr sz="800" b="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4985821344416959"/>
        </c:manualLayout>
      </c:layout>
      <c:barChart>
        <c:barDir val="bar"/>
        <c:grouping val="clustered"/>
        <c:varyColors val="0"/>
        <c:ser>
          <c:idx val="0"/>
          <c:order val="0"/>
          <c:tx>
            <c:strRef>
              <c:f>Sheet1!$A$2</c:f>
              <c:strCache>
                <c:ptCount val="1"/>
                <c:pt idx="0">
                  <c:v>Ներմուծման ծածկման գործակից  (%)</c:v>
                </c:pt>
              </c:strCache>
            </c:strRef>
          </c:tx>
          <c:invertIfNegative val="0"/>
          <c:dLbls>
            <c:spPr>
              <a:noFill/>
              <a:ln w="25401">
                <a:noFill/>
              </a:ln>
            </c:spPr>
            <c:txPr>
              <a:bodyPr/>
              <a:lstStyle/>
              <a:p>
                <a:pPr>
                  <a:defRPr>
                    <a:latin typeface="GHEA Grapalat" pitchFamily="50"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Sheet1!$B$1:$AB$1</c:f>
              <c:strCache>
                <c:ptCount val="5"/>
                <c:pt idx="0">
                  <c:v>2018</c:v>
                </c:pt>
                <c:pt idx="1">
                  <c:v>2019</c:v>
                </c:pt>
                <c:pt idx="2">
                  <c:v>2020</c:v>
                </c:pt>
                <c:pt idx="3">
                  <c:v>2021</c:v>
                </c:pt>
                <c:pt idx="4">
                  <c:v>2022</c:v>
                </c:pt>
              </c:strCache>
            </c:strRef>
          </c:cat>
          <c:val>
            <c:numRef>
              <c:f>Sheet1!$B$2:$AB$2</c:f>
              <c:numCache>
                <c:formatCode>0.0</c:formatCode>
                <c:ptCount val="5"/>
                <c:pt idx="0">
                  <c:v>59.63865672753699</c:v>
                </c:pt>
                <c:pt idx="1">
                  <c:v>66.177676349692547</c:v>
                </c:pt>
                <c:pt idx="2">
                  <c:v>61.017296032735345</c:v>
                </c:pt>
                <c:pt idx="3">
                  <c:v>71.851717414763201</c:v>
                </c:pt>
                <c:pt idx="4">
                  <c:v>71.556153657939802</c:v>
                </c:pt>
              </c:numCache>
            </c:numRef>
          </c:val>
          <c:extLst>
            <c:ext xmlns:c16="http://schemas.microsoft.com/office/drawing/2014/chart" uri="{C3380CC4-5D6E-409C-BE32-E72D297353CC}">
              <c16:uniqueId val="{00000000-B0FE-49B1-B5CC-65A2D2A26058}"/>
            </c:ext>
          </c:extLst>
        </c:ser>
        <c:dLbls>
          <c:showLegendKey val="0"/>
          <c:showVal val="0"/>
          <c:showCatName val="0"/>
          <c:showSerName val="0"/>
          <c:showPercent val="0"/>
          <c:showBubbleSize val="0"/>
        </c:dLbls>
        <c:gapWidth val="150"/>
        <c:axId val="340230912"/>
        <c:axId val="340232448"/>
      </c:barChart>
      <c:catAx>
        <c:axId val="340230912"/>
        <c:scaling>
          <c:orientation val="minMax"/>
        </c:scaling>
        <c:delete val="0"/>
        <c:axPos val="l"/>
        <c:numFmt formatCode="General" sourceLinked="1"/>
        <c:majorTickMark val="out"/>
        <c:minorTickMark val="none"/>
        <c:tickLblPos val="nextTo"/>
        <c:txPr>
          <a:bodyPr/>
          <a:lstStyle/>
          <a:p>
            <a:pPr>
              <a:defRPr>
                <a:latin typeface="GHEA Grapalat" pitchFamily="50" charset="0"/>
              </a:defRPr>
            </a:pPr>
            <a:endParaRPr lang="en-US"/>
          </a:p>
        </c:txPr>
        <c:crossAx val="340232448"/>
        <c:crosses val="autoZero"/>
        <c:auto val="1"/>
        <c:lblAlgn val="ctr"/>
        <c:lblOffset val="100"/>
        <c:tickLblSkip val="1"/>
        <c:noMultiLvlLbl val="0"/>
      </c:catAx>
      <c:valAx>
        <c:axId val="340232448"/>
        <c:scaling>
          <c:orientation val="minMax"/>
        </c:scaling>
        <c:delete val="0"/>
        <c:axPos val="b"/>
        <c:majorGridlines/>
        <c:numFmt formatCode="0.0" sourceLinked="1"/>
        <c:majorTickMark val="out"/>
        <c:minorTickMark val="none"/>
        <c:tickLblPos val="nextTo"/>
        <c:txPr>
          <a:bodyPr/>
          <a:lstStyle/>
          <a:p>
            <a:pPr>
              <a:defRPr>
                <a:latin typeface="GHEA Grapalat" pitchFamily="50" charset="0"/>
              </a:defRPr>
            </a:pPr>
            <a:endParaRPr lang="en-US"/>
          </a:p>
        </c:txPr>
        <c:crossAx val="340230912"/>
        <c:crossesAt val="1"/>
        <c:crossBetween val="between"/>
      </c:valAx>
    </c:plotArea>
    <c:legend>
      <c:legendPos val="r"/>
      <c:layout>
        <c:manualLayout>
          <c:xMode val="edge"/>
          <c:yMode val="edge"/>
          <c:x val="0.23309608540925275"/>
          <c:y val="0.9248366013071897"/>
          <c:w val="0.53202846975088969"/>
          <c:h val="7.8431372549019607E-2"/>
        </c:manualLayout>
      </c:layout>
      <c:overlay val="0"/>
      <c:txPr>
        <a:bodyPr/>
        <a:lstStyle/>
        <a:p>
          <a:pPr>
            <a:defRPr>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'[Արժութային շուկա հաշվետվության համար.xlsx]Sheet2'!$D$4</c:f>
              <c:strCache>
                <c:ptCount val="1"/>
                <c:pt idx="0">
                  <c:v>Դոլար</c:v>
                </c:pt>
              </c:strCache>
            </c:strRef>
          </c:tx>
          <c:spPr>
            <a:solidFill>
              <a:schemeClr val="accent1"/>
            </a:solidFill>
            <a:ln>
              <a:noFill/>
            </a:ln>
            <a:effectLst/>
          </c:spPr>
          <c:invertIfNegative val="0"/>
          <c:cat>
            <c:multiLvlStrRef>
              <c:f>'[Արժութային շուկա հաշվետվության համար.xlsx]Sheet2'!$B$5:$C$22</c:f>
              <c:multiLvlStrCache>
                <c:ptCount val="18"/>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pt idx="12">
                    <c:v>Առք</c:v>
                  </c:pt>
                  <c:pt idx="13">
                    <c:v>Վաճառք</c:v>
                  </c:pt>
                  <c:pt idx="14">
                    <c:v>Առք</c:v>
                  </c:pt>
                  <c:pt idx="15">
                    <c:v>Վաճառք</c:v>
                  </c:pt>
                  <c:pt idx="16">
                    <c:v>Առք</c:v>
                  </c:pt>
                  <c:pt idx="17">
                    <c:v>Վաճառք</c:v>
                  </c:pt>
                </c:lvl>
                <c:lvl>
                  <c:pt idx="0">
                    <c:v> Հնվ</c:v>
                  </c:pt>
                  <c:pt idx="2">
                    <c:v> Փտվ</c:v>
                  </c:pt>
                  <c:pt idx="4">
                    <c:v> Մրտ</c:v>
                  </c:pt>
                  <c:pt idx="6">
                    <c:v> Ապր</c:v>
                  </c:pt>
                  <c:pt idx="8">
                    <c:v> Մյս</c:v>
                  </c:pt>
                  <c:pt idx="10">
                    <c:v> Հնս</c:v>
                  </c:pt>
                  <c:pt idx="12">
                    <c:v> Հլս</c:v>
                  </c:pt>
                  <c:pt idx="14">
                    <c:v> Օգս</c:v>
                  </c:pt>
                  <c:pt idx="16">
                    <c:v> Սպտ</c:v>
                  </c:pt>
                </c:lvl>
              </c:multiLvlStrCache>
            </c:multiLvlStrRef>
          </c:cat>
          <c:val>
            <c:numRef>
              <c:f>'[Արժութային շուկա հաշվետվության համար.xlsx]Sheet2'!$D$5:$D$22</c:f>
              <c:numCache>
                <c:formatCode>0.0</c:formatCode>
                <c:ptCount val="18"/>
                <c:pt idx="0">
                  <c:v>196.58997992351988</c:v>
                </c:pt>
                <c:pt idx="1">
                  <c:v>172.56211063490514</c:v>
                </c:pt>
                <c:pt idx="2">
                  <c:v>220.44791656193235</c:v>
                </c:pt>
                <c:pt idx="3">
                  <c:v>227.10265330216052</c:v>
                </c:pt>
                <c:pt idx="4">
                  <c:v>316.56021408161007</c:v>
                </c:pt>
                <c:pt idx="5">
                  <c:v>251.10630550770398</c:v>
                </c:pt>
                <c:pt idx="6">
                  <c:v>243.6350012978528</c:v>
                </c:pt>
                <c:pt idx="7">
                  <c:v>205.45514191617764</c:v>
                </c:pt>
                <c:pt idx="8">
                  <c:v>243.24458075416413</c:v>
                </c:pt>
                <c:pt idx="9">
                  <c:v>277.46070972776545</c:v>
                </c:pt>
                <c:pt idx="10">
                  <c:v>259.27033630311377</c:v>
                </c:pt>
                <c:pt idx="11">
                  <c:v>313.41856014771014</c:v>
                </c:pt>
                <c:pt idx="12">
                  <c:v>234.10190892862931</c:v>
                </c:pt>
                <c:pt idx="13">
                  <c:v>308.7569531273079</c:v>
                </c:pt>
                <c:pt idx="14">
                  <c:v>229.15733939377387</c:v>
                </c:pt>
                <c:pt idx="15">
                  <c:v>281.99464960597015</c:v>
                </c:pt>
                <c:pt idx="16">
                  <c:v>236.26469243452789</c:v>
                </c:pt>
                <c:pt idx="17">
                  <c:v>337.00417261403067</c:v>
                </c:pt>
              </c:numCache>
            </c:numRef>
          </c:val>
          <c:extLst>
            <c:ext xmlns:c16="http://schemas.microsoft.com/office/drawing/2014/chart" uri="{C3380CC4-5D6E-409C-BE32-E72D297353CC}">
              <c16:uniqueId val="{00000000-F58C-4F39-8AB4-D660AD93EB3E}"/>
            </c:ext>
          </c:extLst>
        </c:ser>
        <c:ser>
          <c:idx val="1"/>
          <c:order val="1"/>
          <c:tx>
            <c:strRef>
              <c:f>'[Արժութային շուկա հաշվետվության համար.xlsx]Sheet2'!$E$4</c:f>
              <c:strCache>
                <c:ptCount val="1"/>
                <c:pt idx="0">
                  <c:v>Եվրո</c:v>
                </c:pt>
              </c:strCache>
            </c:strRef>
          </c:tx>
          <c:spPr>
            <a:solidFill>
              <a:schemeClr val="accent2"/>
            </a:solidFill>
            <a:ln>
              <a:noFill/>
            </a:ln>
            <a:effectLst/>
          </c:spPr>
          <c:invertIfNegative val="0"/>
          <c:cat>
            <c:multiLvlStrRef>
              <c:f>'[Արժութային շուկա հաշվետվության համար.xlsx]Sheet2'!$B$5:$C$22</c:f>
              <c:multiLvlStrCache>
                <c:ptCount val="18"/>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pt idx="12">
                    <c:v>Առք</c:v>
                  </c:pt>
                  <c:pt idx="13">
                    <c:v>Վաճառք</c:v>
                  </c:pt>
                  <c:pt idx="14">
                    <c:v>Առք</c:v>
                  </c:pt>
                  <c:pt idx="15">
                    <c:v>Վաճառք</c:v>
                  </c:pt>
                  <c:pt idx="16">
                    <c:v>Առք</c:v>
                  </c:pt>
                  <c:pt idx="17">
                    <c:v>Վաճառք</c:v>
                  </c:pt>
                </c:lvl>
                <c:lvl>
                  <c:pt idx="0">
                    <c:v> Հնվ</c:v>
                  </c:pt>
                  <c:pt idx="2">
                    <c:v> Փտվ</c:v>
                  </c:pt>
                  <c:pt idx="4">
                    <c:v> Մրտ</c:v>
                  </c:pt>
                  <c:pt idx="6">
                    <c:v> Ապր</c:v>
                  </c:pt>
                  <c:pt idx="8">
                    <c:v> Մյս</c:v>
                  </c:pt>
                  <c:pt idx="10">
                    <c:v> Հնս</c:v>
                  </c:pt>
                  <c:pt idx="12">
                    <c:v> Հլս</c:v>
                  </c:pt>
                  <c:pt idx="14">
                    <c:v> Օգս</c:v>
                  </c:pt>
                  <c:pt idx="16">
                    <c:v> Սպտ</c:v>
                  </c:pt>
                </c:lvl>
              </c:multiLvlStrCache>
            </c:multiLvlStrRef>
          </c:cat>
          <c:val>
            <c:numRef>
              <c:f>'[Արժութային շուկա հաշվետվության համար.xlsx]Sheet2'!$E$5:$E$22</c:f>
              <c:numCache>
                <c:formatCode>0.0</c:formatCode>
                <c:ptCount val="18"/>
                <c:pt idx="0">
                  <c:v>34.001542658102096</c:v>
                </c:pt>
                <c:pt idx="1">
                  <c:v>37.822345786900797</c:v>
                </c:pt>
                <c:pt idx="2">
                  <c:v>33.032567697920683</c:v>
                </c:pt>
                <c:pt idx="3">
                  <c:v>43.981832159751605</c:v>
                </c:pt>
                <c:pt idx="4">
                  <c:v>154.83714980940937</c:v>
                </c:pt>
                <c:pt idx="5">
                  <c:v>102.01159860102872</c:v>
                </c:pt>
                <c:pt idx="6">
                  <c:v>39.297718178928498</c:v>
                </c:pt>
                <c:pt idx="7">
                  <c:v>69.499375029610079</c:v>
                </c:pt>
                <c:pt idx="8">
                  <c:v>36.607920021028796</c:v>
                </c:pt>
                <c:pt idx="9">
                  <c:v>79.290092285115691</c:v>
                </c:pt>
                <c:pt idx="10">
                  <c:v>45.377779841968795</c:v>
                </c:pt>
                <c:pt idx="11">
                  <c:v>88.603691349016515</c:v>
                </c:pt>
                <c:pt idx="12">
                  <c:v>45.458100965139693</c:v>
                </c:pt>
                <c:pt idx="13">
                  <c:v>87.646688337179086</c:v>
                </c:pt>
                <c:pt idx="14">
                  <c:v>43.789724617573505</c:v>
                </c:pt>
                <c:pt idx="15">
                  <c:v>92.525891038742699</c:v>
                </c:pt>
                <c:pt idx="16">
                  <c:v>46.725890494184796</c:v>
                </c:pt>
                <c:pt idx="17">
                  <c:v>107.28859146184568</c:v>
                </c:pt>
              </c:numCache>
            </c:numRef>
          </c:val>
          <c:extLst>
            <c:ext xmlns:c16="http://schemas.microsoft.com/office/drawing/2014/chart" uri="{C3380CC4-5D6E-409C-BE32-E72D297353CC}">
              <c16:uniqueId val="{00000001-F58C-4F39-8AB4-D660AD93EB3E}"/>
            </c:ext>
          </c:extLst>
        </c:ser>
        <c:ser>
          <c:idx val="2"/>
          <c:order val="2"/>
          <c:tx>
            <c:strRef>
              <c:f>'[Արժութային շուկա հաշվետվության համար.xlsx]Sheet2'!$F$4</c:f>
              <c:strCache>
                <c:ptCount val="1"/>
                <c:pt idx="0">
                  <c:v>Ռուբլի</c:v>
                </c:pt>
              </c:strCache>
            </c:strRef>
          </c:tx>
          <c:spPr>
            <a:solidFill>
              <a:srgbClr val="9BBB59">
                <a:lumMod val="75000"/>
              </a:srgbClr>
            </a:solidFill>
            <a:ln>
              <a:noFill/>
            </a:ln>
            <a:effectLst/>
          </c:spPr>
          <c:invertIfNegative val="0"/>
          <c:cat>
            <c:multiLvlStrRef>
              <c:f>'[Արժութային շուկա հաշվետվության համար.xlsx]Sheet2'!$B$5:$C$22</c:f>
              <c:multiLvlStrCache>
                <c:ptCount val="18"/>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pt idx="12">
                    <c:v>Առք</c:v>
                  </c:pt>
                  <c:pt idx="13">
                    <c:v>Վաճառք</c:v>
                  </c:pt>
                  <c:pt idx="14">
                    <c:v>Առք</c:v>
                  </c:pt>
                  <c:pt idx="15">
                    <c:v>Վաճառք</c:v>
                  </c:pt>
                  <c:pt idx="16">
                    <c:v>Առք</c:v>
                  </c:pt>
                  <c:pt idx="17">
                    <c:v>Վաճառք</c:v>
                  </c:pt>
                </c:lvl>
                <c:lvl>
                  <c:pt idx="0">
                    <c:v> Հնվ</c:v>
                  </c:pt>
                  <c:pt idx="2">
                    <c:v> Փտվ</c:v>
                  </c:pt>
                  <c:pt idx="4">
                    <c:v> Մրտ</c:v>
                  </c:pt>
                  <c:pt idx="6">
                    <c:v> Ապր</c:v>
                  </c:pt>
                  <c:pt idx="8">
                    <c:v> Մյս</c:v>
                  </c:pt>
                  <c:pt idx="10">
                    <c:v> Հնս</c:v>
                  </c:pt>
                  <c:pt idx="12">
                    <c:v> Հլս</c:v>
                  </c:pt>
                  <c:pt idx="14">
                    <c:v> Օգս</c:v>
                  </c:pt>
                  <c:pt idx="16">
                    <c:v> Սպտ</c:v>
                  </c:pt>
                </c:lvl>
              </c:multiLvlStrCache>
            </c:multiLvlStrRef>
          </c:cat>
          <c:val>
            <c:numRef>
              <c:f>'[Արժութային շուկա հաշվետվության համար.xlsx]Sheet2'!$F$5:$F$22</c:f>
              <c:numCache>
                <c:formatCode>0.0</c:formatCode>
                <c:ptCount val="18"/>
                <c:pt idx="0">
                  <c:v>34.336115549223599</c:v>
                </c:pt>
                <c:pt idx="1">
                  <c:v>48.470661090227999</c:v>
                </c:pt>
                <c:pt idx="2">
                  <c:v>42.127410726841589</c:v>
                </c:pt>
                <c:pt idx="3">
                  <c:v>54.935582321700807</c:v>
                </c:pt>
                <c:pt idx="4">
                  <c:v>39.934192546036513</c:v>
                </c:pt>
                <c:pt idx="5">
                  <c:v>44.590028108180505</c:v>
                </c:pt>
                <c:pt idx="6">
                  <c:v>63.169978960973694</c:v>
                </c:pt>
                <c:pt idx="7">
                  <c:v>40.297859813176608</c:v>
                </c:pt>
                <c:pt idx="8">
                  <c:v>99.260520277638705</c:v>
                </c:pt>
                <c:pt idx="9">
                  <c:v>37.626992654904505</c:v>
                </c:pt>
                <c:pt idx="10">
                  <c:v>143.77706094952819</c:v>
                </c:pt>
                <c:pt idx="11">
                  <c:v>37.816436528186912</c:v>
                </c:pt>
                <c:pt idx="12">
                  <c:v>151.29668186199279</c:v>
                </c:pt>
                <c:pt idx="13">
                  <c:v>47.269782364823797</c:v>
                </c:pt>
                <c:pt idx="14">
                  <c:v>205.31692027600207</c:v>
                </c:pt>
                <c:pt idx="15">
                  <c:v>64.585231503035899</c:v>
                </c:pt>
                <c:pt idx="16">
                  <c:v>255.15583988974686</c:v>
                </c:pt>
                <c:pt idx="17">
                  <c:v>76.670635183170518</c:v>
                </c:pt>
              </c:numCache>
            </c:numRef>
          </c:val>
          <c:extLst>
            <c:ext xmlns:c16="http://schemas.microsoft.com/office/drawing/2014/chart" uri="{C3380CC4-5D6E-409C-BE32-E72D297353CC}">
              <c16:uniqueId val="{00000002-F58C-4F39-8AB4-D660AD93EB3E}"/>
            </c:ext>
          </c:extLst>
        </c:ser>
        <c:dLbls>
          <c:showLegendKey val="0"/>
          <c:showVal val="0"/>
          <c:showCatName val="0"/>
          <c:showSerName val="0"/>
          <c:showPercent val="0"/>
          <c:showBubbleSize val="0"/>
        </c:dLbls>
        <c:gapWidth val="75"/>
        <c:overlap val="100"/>
        <c:axId val="340980480"/>
        <c:axId val="340982016"/>
      </c:barChart>
      <c:catAx>
        <c:axId val="34098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GHEA Grapalat" pitchFamily="50" charset="0"/>
                <a:ea typeface="+mn-ea"/>
                <a:cs typeface="+mn-cs"/>
              </a:defRPr>
            </a:pPr>
            <a:endParaRPr lang="en-US"/>
          </a:p>
        </c:txPr>
        <c:crossAx val="340982016"/>
        <c:crosses val="autoZero"/>
        <c:auto val="1"/>
        <c:lblAlgn val="ctr"/>
        <c:lblOffset val="100"/>
        <c:noMultiLvlLbl val="0"/>
      </c:catAx>
      <c:valAx>
        <c:axId val="340982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HEA Grapalat" pitchFamily="50" charset="0"/>
                <a:ea typeface="+mn-ea"/>
                <a:cs typeface="+mn-cs"/>
              </a:defRPr>
            </a:pPr>
            <a:endParaRPr lang="en-US"/>
          </a:p>
        </c:txPr>
        <c:crossAx val="340980480"/>
        <c:crosses val="autoZero"/>
        <c:crossBetween val="between"/>
        <c:majorUnit val="100"/>
      </c:valAx>
      <c:spPr>
        <a:solidFill>
          <a:sysClr val="window" lastClr="FFFFFF"/>
        </a:solidFill>
        <a:ln>
          <a:noFill/>
        </a:ln>
        <a:effectLst/>
      </c:spPr>
    </c:plotArea>
    <c:legend>
      <c:legendPos val="b"/>
      <c:layout>
        <c:manualLayout>
          <c:xMode val="edge"/>
          <c:yMode val="edge"/>
          <c:x val="0.30826451571602331"/>
          <c:y val="0.89579141724003741"/>
          <c:w val="0.36051529426827383"/>
          <c:h val="7.8964182507489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GHEA Grapalat" pitchFamily="50" charset="0"/>
              <a:ea typeface="+mn-ea"/>
              <a:cs typeface="+mn-cs"/>
            </a:defRPr>
          </a:pPr>
          <a:endParaRPr lang="en-US"/>
        </a:p>
      </c:txPr>
    </c:legend>
    <c:plotVisOnly val="1"/>
    <c:dispBlanksAs val="gap"/>
    <c:showDLblsOverMax val="0"/>
  </c:chart>
  <c:spPr>
    <a:gradFill>
      <a:gsLst>
        <a:gs pos="0">
          <a:srgbClr val="DAE4F1"/>
        </a:gs>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Sheet1!$A$2:$A$441</c:f>
              <c:numCache>
                <c:formatCode>[$-2B]dd\-mmm\-yy</c:formatCode>
                <c:ptCount val="44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44592</c:v>
                </c:pt>
                <c:pt idx="269" formatCode="[$-2B]dd\,\ mmm\,\ yy">
                  <c:v>44593</c:v>
                </c:pt>
                <c:pt idx="270" formatCode="[$-2B]dd\,\ mmm\,\ yy">
                  <c:v>44594</c:v>
                </c:pt>
                <c:pt idx="271" formatCode="[$-2B]dd\,\ mmm\,\ yy">
                  <c:v>44595</c:v>
                </c:pt>
                <c:pt idx="272" formatCode="[$-2B]dd\,\ mmm\,\ yy">
                  <c:v>44596</c:v>
                </c:pt>
                <c:pt idx="273" formatCode="[$-2B]dd\,\ mmm\,\ yy">
                  <c:v>44599</c:v>
                </c:pt>
                <c:pt idx="274" formatCode="[$-2B]dd\,\ mmm\,\ yy">
                  <c:v>44600</c:v>
                </c:pt>
                <c:pt idx="275" formatCode="[$-2B]dd\,\ mmm\,\ yy">
                  <c:v>44601</c:v>
                </c:pt>
                <c:pt idx="276" formatCode="[$-2B]dd\,\ mmm\,\ yy">
                  <c:v>44602</c:v>
                </c:pt>
                <c:pt idx="277" formatCode="[$-2B]dd\,\ mmm\,\ yy">
                  <c:v>44603</c:v>
                </c:pt>
                <c:pt idx="278" formatCode="[$-2B]dd\,\ mmm\,\ yy">
                  <c:v>44606</c:v>
                </c:pt>
                <c:pt idx="279" formatCode="[$-2B]dd\,\ mmm\,\ yy">
                  <c:v>44607</c:v>
                </c:pt>
                <c:pt idx="280" formatCode="[$-2B]dd\,\ mmm\,\ yy">
                  <c:v>44608</c:v>
                </c:pt>
                <c:pt idx="281" formatCode="[$-2B]dd\,\ mmm\,\ yy">
                  <c:v>44609</c:v>
                </c:pt>
                <c:pt idx="282" formatCode="[$-2B]dd\,\ mmm\,\ yy">
                  <c:v>44610</c:v>
                </c:pt>
                <c:pt idx="283" formatCode="[$-2B]dd\,\ mmm\,\ yy">
                  <c:v>44613</c:v>
                </c:pt>
                <c:pt idx="284" formatCode="[$-2B]dd\,\ mmm\,\ yy">
                  <c:v>44614</c:v>
                </c:pt>
                <c:pt idx="285" formatCode="[$-2B]dd\,\ mmm\,\ yy">
                  <c:v>44615</c:v>
                </c:pt>
                <c:pt idx="286" formatCode="[$-2B]dd\,\ mmm\,\ yy">
                  <c:v>44616</c:v>
                </c:pt>
                <c:pt idx="287" formatCode="[$-2B]dd\,\ mmm\,\ yy">
                  <c:v>44617</c:v>
                </c:pt>
                <c:pt idx="288" formatCode="[$-2B]dd\,\ mmm\,\ yy">
                  <c:v>44620</c:v>
                </c:pt>
                <c:pt idx="289" formatCode="[$-2B]dd\,\ mmm\,\ yy">
                  <c:v>44621</c:v>
                </c:pt>
                <c:pt idx="290" formatCode="[$-2B]dd\,\ mmm\,\ yy">
                  <c:v>44622</c:v>
                </c:pt>
                <c:pt idx="291" formatCode="[$-2B]dd\,\ mmm\,\ yy">
                  <c:v>44623</c:v>
                </c:pt>
                <c:pt idx="292" formatCode="[$-2B]dd\,\ mmm\,\ yy">
                  <c:v>44624</c:v>
                </c:pt>
                <c:pt idx="293" formatCode="[$-2B]dd\,\ mmm\,\ yy">
                  <c:v>44627</c:v>
                </c:pt>
                <c:pt idx="294" formatCode="[$-2B]dd\,\ mmm\,\ yy">
                  <c:v>44629</c:v>
                </c:pt>
                <c:pt idx="295" formatCode="[$-2B]dd\,\ mmm\,\ yy">
                  <c:v>44630</c:v>
                </c:pt>
                <c:pt idx="296" formatCode="[$-2B]dd\,\ mmm\,\ yy">
                  <c:v>44631</c:v>
                </c:pt>
                <c:pt idx="297" formatCode="[$-2B]dd\,\ mmm\,\ yy">
                  <c:v>44634</c:v>
                </c:pt>
                <c:pt idx="298" formatCode="[$-2B]dd\,\ mmm\,\ yy">
                  <c:v>44635</c:v>
                </c:pt>
                <c:pt idx="299" formatCode="[$-2B]dd\,\ mmm\,\ yy">
                  <c:v>44636</c:v>
                </c:pt>
                <c:pt idx="300" formatCode="[$-2B]dd\,\ mmm\,\ yy">
                  <c:v>44637</c:v>
                </c:pt>
                <c:pt idx="301" formatCode="[$-2B]dd\,\ mmm\,\ yy">
                  <c:v>44638</c:v>
                </c:pt>
                <c:pt idx="302" formatCode="[$-2B]dd\,\ mmm\,\ yy">
                  <c:v>44641</c:v>
                </c:pt>
                <c:pt idx="303" formatCode="[$-2B]dd\,\ mmm\,\ yy">
                  <c:v>44642</c:v>
                </c:pt>
                <c:pt idx="304" formatCode="[$-2B]dd\,\ mmm\,\ yy">
                  <c:v>44643</c:v>
                </c:pt>
                <c:pt idx="305" formatCode="[$-2B]dd\,\ mmm\,\ yy">
                  <c:v>44644</c:v>
                </c:pt>
                <c:pt idx="306" formatCode="[$-2B]dd\,\ mmm\,\ yy">
                  <c:v>44645</c:v>
                </c:pt>
                <c:pt idx="307" formatCode="[$-2B]dd\,\ mmm\,\ yy">
                  <c:v>44648</c:v>
                </c:pt>
                <c:pt idx="308" formatCode="[$-2B]dd\,\ mmm\,\ yy">
                  <c:v>44649</c:v>
                </c:pt>
                <c:pt idx="309" formatCode="[$-2B]dd\,\ mmm\,\ yy">
                  <c:v>44650</c:v>
                </c:pt>
                <c:pt idx="310" formatCode="[$-2B]dd\,\ mmm\,\ yy">
                  <c:v>44651</c:v>
                </c:pt>
                <c:pt idx="311" formatCode="[$-2B]dd\,\ mmm\,\ yy">
                  <c:v>44652</c:v>
                </c:pt>
                <c:pt idx="312" formatCode="[$-2B]dd\,\ mmm\,\ yy">
                  <c:v>44655</c:v>
                </c:pt>
                <c:pt idx="313" formatCode="[$-2B]dd\,\ mmm\,\ yy">
                  <c:v>44656</c:v>
                </c:pt>
                <c:pt idx="314" formatCode="[$-2B]dd\,\ mmm\,\ yy">
                  <c:v>44657</c:v>
                </c:pt>
                <c:pt idx="315" formatCode="[$-2B]dd\,\ mmm\,\ yy">
                  <c:v>44658</c:v>
                </c:pt>
                <c:pt idx="316" formatCode="[$-2B]dd\,\ mmm\,\ yy">
                  <c:v>44659</c:v>
                </c:pt>
                <c:pt idx="317" formatCode="[$-2B]dd\,\ mmm\,\ yy">
                  <c:v>44662</c:v>
                </c:pt>
                <c:pt idx="318" formatCode="[$-2B]dd\,\ mmm\,\ yy">
                  <c:v>44663</c:v>
                </c:pt>
                <c:pt idx="319" formatCode="[$-2B]dd\,\ mmm\,\ yy">
                  <c:v>44664</c:v>
                </c:pt>
                <c:pt idx="320" formatCode="[$-2B]dd\,\ mmm\,\ yy">
                  <c:v>44665</c:v>
                </c:pt>
                <c:pt idx="321" formatCode="[$-2B]dd\,\ mmm\,\ yy">
                  <c:v>44666</c:v>
                </c:pt>
                <c:pt idx="322" formatCode="[$-2B]dd\,\ mmm\,\ yy">
                  <c:v>44669</c:v>
                </c:pt>
                <c:pt idx="323" formatCode="[$-2B]dd\,\ mmm\,\ yy">
                  <c:v>44670</c:v>
                </c:pt>
                <c:pt idx="324" formatCode="[$-2B]dd\,\ mmm\,\ yy">
                  <c:v>44671</c:v>
                </c:pt>
                <c:pt idx="325" formatCode="[$-2B]dd\,\ mmm\,\ yy">
                  <c:v>44672</c:v>
                </c:pt>
                <c:pt idx="326" formatCode="[$-2B]dd\,\ mmm\,\ yy">
                  <c:v>44673</c:v>
                </c:pt>
                <c:pt idx="327" formatCode="[$-2B]dd\,\ mmm\,\ yy">
                  <c:v>44676</c:v>
                </c:pt>
                <c:pt idx="328" formatCode="[$-2B]dd\,\ mmm\,\ yy">
                  <c:v>44677</c:v>
                </c:pt>
                <c:pt idx="329" formatCode="[$-2B]dd\,\ mmm\,\ yy">
                  <c:v>44678</c:v>
                </c:pt>
                <c:pt idx="330" formatCode="[$-2B]dd\,\ mmm\,\ yy">
                  <c:v>44679</c:v>
                </c:pt>
                <c:pt idx="331" formatCode="[$-2B]dd\,\ mmm\,\ yy">
                  <c:v>44680</c:v>
                </c:pt>
                <c:pt idx="332" formatCode="[$-2B]dd\,\ mmm\,\ yy">
                  <c:v>44683</c:v>
                </c:pt>
                <c:pt idx="333" formatCode="[$-2B]dd\,\ mmm\,\ yy">
                  <c:v>44684</c:v>
                </c:pt>
                <c:pt idx="334" formatCode="[$-2B]dd\,\ mmm\,\ yy">
                  <c:v>44685</c:v>
                </c:pt>
                <c:pt idx="335" formatCode="[$-2B]dd\,\ mmm\,\ yy">
                  <c:v>44686</c:v>
                </c:pt>
                <c:pt idx="336" formatCode="[$-2B]dd\,\ mmm\,\ yy">
                  <c:v>44687</c:v>
                </c:pt>
                <c:pt idx="337" formatCode="[$-2B]dd\,\ mmm\,\ yy">
                  <c:v>44691</c:v>
                </c:pt>
                <c:pt idx="338" formatCode="[$-2B]dd\,\ mmm\,\ yy">
                  <c:v>44692</c:v>
                </c:pt>
                <c:pt idx="339" formatCode="[$-2B]dd\,\ mmm\,\ yy">
                  <c:v>44693</c:v>
                </c:pt>
                <c:pt idx="340" formatCode="[$-2B]dd\,\ mmm\,\ yy">
                  <c:v>44694</c:v>
                </c:pt>
                <c:pt idx="341" formatCode="[$-2B]dd\,\ mmm\,\ yy">
                  <c:v>44697</c:v>
                </c:pt>
                <c:pt idx="342" formatCode="[$-2B]dd\,\ mmm\,\ yy">
                  <c:v>44698</c:v>
                </c:pt>
                <c:pt idx="343" formatCode="[$-2B]dd\,\ mmm\,\ yy">
                  <c:v>44699</c:v>
                </c:pt>
                <c:pt idx="344" formatCode="[$-2B]dd\,\ mmm\,\ yy">
                  <c:v>44700</c:v>
                </c:pt>
                <c:pt idx="345" formatCode="[$-2B]dd\,\ mmm\,\ yy">
                  <c:v>44701</c:v>
                </c:pt>
                <c:pt idx="346" formatCode="[$-2B]dd\,\ mmm\,\ yy">
                  <c:v>44704</c:v>
                </c:pt>
                <c:pt idx="347" formatCode="[$-2B]dd\,\ mmm\,\ yy">
                  <c:v>44705</c:v>
                </c:pt>
                <c:pt idx="348" formatCode="[$-2B]dd\,\ mmm\,\ yy">
                  <c:v>44706</c:v>
                </c:pt>
                <c:pt idx="349" formatCode="[$-2B]dd\,\ mmm\,\ yy">
                  <c:v>44707</c:v>
                </c:pt>
                <c:pt idx="350" formatCode="[$-2B]dd\,\ mmm\,\ yy">
                  <c:v>44708</c:v>
                </c:pt>
                <c:pt idx="351" formatCode="[$-2B]dd\,\ mmm\,\ yy">
                  <c:v>44711</c:v>
                </c:pt>
                <c:pt idx="352" formatCode="[$-2B]dd\,\ mmm\,\ yy">
                  <c:v>44712</c:v>
                </c:pt>
                <c:pt idx="353" formatCode="[$-2B]dd\,\ mmm\,\ yy">
                  <c:v>44713</c:v>
                </c:pt>
                <c:pt idx="354" formatCode="[$-2B]dd\,\ mmm\,\ yy">
                  <c:v>44714</c:v>
                </c:pt>
                <c:pt idx="355" formatCode="[$-2B]dd\,\ mmm\,\ yy">
                  <c:v>44715</c:v>
                </c:pt>
                <c:pt idx="356" formatCode="[$-2B]dd\,\ mmm\,\ yy">
                  <c:v>44718</c:v>
                </c:pt>
                <c:pt idx="357" formatCode="[$-2B]dd\,\ mmm\,\ yy">
                  <c:v>44719</c:v>
                </c:pt>
                <c:pt idx="358" formatCode="[$-2B]dd\,\ mmm\,\ yy">
                  <c:v>44720</c:v>
                </c:pt>
                <c:pt idx="359" formatCode="[$-2B]dd\,\ mmm\,\ yy">
                  <c:v>44721</c:v>
                </c:pt>
                <c:pt idx="360" formatCode="[$-2B]dd\,\ mmm\,\ yy">
                  <c:v>44722</c:v>
                </c:pt>
                <c:pt idx="361" formatCode="[$-2B]dd\,\ mmm\,\ yy">
                  <c:v>44725</c:v>
                </c:pt>
                <c:pt idx="362" formatCode="[$-2B]dd\,\ mmm\,\ yy">
                  <c:v>44726</c:v>
                </c:pt>
                <c:pt idx="363" formatCode="[$-2B]dd\,\ mmm\,\ yy">
                  <c:v>44727</c:v>
                </c:pt>
                <c:pt idx="364" formatCode="[$-2B]dd\,\ mmm\,\ yy">
                  <c:v>44728</c:v>
                </c:pt>
                <c:pt idx="365" formatCode="[$-2B]dd\,\ mmm\,\ yy">
                  <c:v>44729</c:v>
                </c:pt>
                <c:pt idx="366" formatCode="[$-2B]dd\,\ mmm\,\ yy">
                  <c:v>44732</c:v>
                </c:pt>
                <c:pt idx="367" formatCode="[$-2B]dd\,\ mmm\,\ yy">
                  <c:v>44733</c:v>
                </c:pt>
                <c:pt idx="368" formatCode="[$-2B]dd\,\ mmm\,\ yy">
                  <c:v>44734</c:v>
                </c:pt>
                <c:pt idx="369" formatCode="[$-2B]dd\,\ mmm\,\ yy">
                  <c:v>44735</c:v>
                </c:pt>
                <c:pt idx="370" formatCode="[$-2B]dd\,\ mmm\,\ yy">
                  <c:v>44736</c:v>
                </c:pt>
                <c:pt idx="371" formatCode="[$-2B]dd\,\ mmm\,\ yy">
                  <c:v>44739</c:v>
                </c:pt>
                <c:pt idx="372" formatCode="[$-2B]dd\,\ mmm\,\ yy">
                  <c:v>44740</c:v>
                </c:pt>
                <c:pt idx="373" formatCode="[$-2B]dd\,\ mmm\,\ yy">
                  <c:v>44741</c:v>
                </c:pt>
                <c:pt idx="374" formatCode="[$-2B]dd\,\ mmm\,\ yy">
                  <c:v>44742</c:v>
                </c:pt>
                <c:pt idx="375" formatCode="[$-2B]dd\,\ mmm\,\ yy">
                  <c:v>44743</c:v>
                </c:pt>
                <c:pt idx="376" formatCode="[$-2B]dd\,\ mmm\,\ yy">
                  <c:v>44746</c:v>
                </c:pt>
                <c:pt idx="377" formatCode="[$-2B]dd\,\ mmm\,\ yy">
                  <c:v>44748</c:v>
                </c:pt>
                <c:pt idx="378" formatCode="[$-2B]dd\,\ mmm\,\ yy">
                  <c:v>44749</c:v>
                </c:pt>
                <c:pt idx="379" formatCode="[$-2B]dd\,\ mmm\,\ yy">
                  <c:v>44750</c:v>
                </c:pt>
                <c:pt idx="380" formatCode="[$-2B]dd\,\ mmm\,\ yy">
                  <c:v>44753</c:v>
                </c:pt>
                <c:pt idx="381" formatCode="[$-2B]dd\,\ mmm\,\ yy">
                  <c:v>44754</c:v>
                </c:pt>
                <c:pt idx="382" formatCode="[$-2B]dd\,\ mmm\,\ yy">
                  <c:v>44755</c:v>
                </c:pt>
                <c:pt idx="383" formatCode="[$-2B]dd\,\ mmm\,\ yy">
                  <c:v>44756</c:v>
                </c:pt>
                <c:pt idx="384" formatCode="[$-2B]dd\,\ mmm\,\ yy">
                  <c:v>44757</c:v>
                </c:pt>
                <c:pt idx="385" formatCode="[$-2B]dd\,\ mmm\,\ yy">
                  <c:v>44760</c:v>
                </c:pt>
                <c:pt idx="386" formatCode="[$-2B]dd\,\ mmm\,\ yy">
                  <c:v>44761</c:v>
                </c:pt>
                <c:pt idx="387" formatCode="[$-2B]dd\,\ mmm\,\ yy">
                  <c:v>44762</c:v>
                </c:pt>
                <c:pt idx="388" formatCode="[$-2B]dd\,\ mmm\,\ yy">
                  <c:v>44763</c:v>
                </c:pt>
                <c:pt idx="389" formatCode="[$-2B]dd\,\ mmm\,\ yy">
                  <c:v>44764</c:v>
                </c:pt>
                <c:pt idx="390" formatCode="[$-2B]dd\,\ mmm\,\ yy">
                  <c:v>44767</c:v>
                </c:pt>
                <c:pt idx="391" formatCode="[$-2B]dd\,\ mmm\,\ yy">
                  <c:v>44768</c:v>
                </c:pt>
                <c:pt idx="392" formatCode="[$-2B]dd\,\ mmm\,\ yy">
                  <c:v>44769</c:v>
                </c:pt>
                <c:pt idx="393" formatCode="[$-2B]dd\,\ mmm\,\ yy">
                  <c:v>44770</c:v>
                </c:pt>
                <c:pt idx="394" formatCode="[$-2B]dd\,\ mmm\,\ yy">
                  <c:v>44771</c:v>
                </c:pt>
                <c:pt idx="395" formatCode="[$-2B]dd\,\ mmm\,\ yy">
                  <c:v>44774</c:v>
                </c:pt>
                <c:pt idx="396" formatCode="[$-2B]dd\,\ mmm\,\ yy">
                  <c:v>44775</c:v>
                </c:pt>
                <c:pt idx="397" formatCode="[$-2B]dd\,\ mmm\,\ yy">
                  <c:v>44776</c:v>
                </c:pt>
                <c:pt idx="398" formatCode="[$-2B]dd\,\ mmm\,\ yy">
                  <c:v>44777</c:v>
                </c:pt>
                <c:pt idx="399" formatCode="[$-2B]dd\,\ mmm\,\ yy">
                  <c:v>44778</c:v>
                </c:pt>
                <c:pt idx="400" formatCode="[$-2B]dd\,\ mmm\,\ yy">
                  <c:v>44781</c:v>
                </c:pt>
                <c:pt idx="401" formatCode="[$-2B]dd\,\ mmm\,\ yy">
                  <c:v>44782</c:v>
                </c:pt>
                <c:pt idx="402" formatCode="[$-2B]dd\,\ mmm\,\ yy">
                  <c:v>44783</c:v>
                </c:pt>
                <c:pt idx="403" formatCode="[$-2B]dd\,\ mmm\,\ yy">
                  <c:v>44784</c:v>
                </c:pt>
                <c:pt idx="404" formatCode="[$-2B]dd\,\ mmm\,\ yy">
                  <c:v>44785</c:v>
                </c:pt>
                <c:pt idx="405" formatCode="[$-2B]dd\,\ mmm\,\ yy">
                  <c:v>44788</c:v>
                </c:pt>
                <c:pt idx="406" formatCode="[$-2B]dd\,\ mmm\,\ yy">
                  <c:v>44789</c:v>
                </c:pt>
                <c:pt idx="407" formatCode="[$-2B]dd\,\ mmm\,\ yy">
                  <c:v>44790</c:v>
                </c:pt>
                <c:pt idx="408" formatCode="[$-2B]dd\,\ mmm\,\ yy">
                  <c:v>44791</c:v>
                </c:pt>
                <c:pt idx="409" formatCode="[$-2B]dd\,\ mmm\,\ yy">
                  <c:v>44792</c:v>
                </c:pt>
                <c:pt idx="410" formatCode="[$-2B]dd\,\ mmm\,\ yy">
                  <c:v>44795</c:v>
                </c:pt>
                <c:pt idx="411" formatCode="[$-2B]dd\,\ mmm\,\ yy">
                  <c:v>44796</c:v>
                </c:pt>
                <c:pt idx="412" formatCode="[$-2B]dd\,\ mmm\,\ yy">
                  <c:v>44797</c:v>
                </c:pt>
                <c:pt idx="413" formatCode="[$-2B]dd\,\ mmm\,\ yy">
                  <c:v>44798</c:v>
                </c:pt>
                <c:pt idx="414" formatCode="[$-2B]dd\,\ mmm\,\ yy">
                  <c:v>44799</c:v>
                </c:pt>
                <c:pt idx="415" formatCode="[$-2B]dd\,\ mmm\,\ yy">
                  <c:v>44802</c:v>
                </c:pt>
                <c:pt idx="416" formatCode="[$-2B]dd\,\ mmm\,\ yy">
                  <c:v>44803</c:v>
                </c:pt>
                <c:pt idx="417" formatCode="[$-2B]dd\,\ mmm\,\ yy">
                  <c:v>44804</c:v>
                </c:pt>
                <c:pt idx="418" formatCode="[$-2B]dd\,\ mmm\,\ yy">
                  <c:v>44805</c:v>
                </c:pt>
                <c:pt idx="419" formatCode="[$-2B]dd\,\ mmm\,\ yy">
                  <c:v>44806</c:v>
                </c:pt>
                <c:pt idx="420" formatCode="[$-2B]dd\,\ mmm\,\ yy">
                  <c:v>44809</c:v>
                </c:pt>
                <c:pt idx="421" formatCode="[$-2B]dd\,\ mmm\,\ yy">
                  <c:v>44810</c:v>
                </c:pt>
                <c:pt idx="422" formatCode="[$-2B]dd\,\ mmm\,\ yy">
                  <c:v>44811</c:v>
                </c:pt>
                <c:pt idx="423" formatCode="[$-2B]dd\,\ mmm\,\ yy">
                  <c:v>44812</c:v>
                </c:pt>
                <c:pt idx="424" formatCode="[$-2B]dd\,\ mmm\,\ yy">
                  <c:v>44813</c:v>
                </c:pt>
                <c:pt idx="425" formatCode="[$-2B]dd\,\ mmm\,\ yy">
                  <c:v>44816</c:v>
                </c:pt>
                <c:pt idx="426" formatCode="[$-2B]dd\,\ mmm\,\ yy">
                  <c:v>44817</c:v>
                </c:pt>
                <c:pt idx="427" formatCode="[$-2B]dd\,\ mmm\,\ yy">
                  <c:v>44818</c:v>
                </c:pt>
                <c:pt idx="428" formatCode="[$-2B]dd\,\ mmm\,\ yy">
                  <c:v>44819</c:v>
                </c:pt>
                <c:pt idx="429" formatCode="[$-2B]dd\,\ mmm\,\ yy">
                  <c:v>44820</c:v>
                </c:pt>
                <c:pt idx="430" formatCode="[$-2B]dd\,\ mmm\,\ yy">
                  <c:v>44823</c:v>
                </c:pt>
                <c:pt idx="431" formatCode="[$-2B]dd\,\ mmm\,\ yy">
                  <c:v>44824</c:v>
                </c:pt>
                <c:pt idx="432" formatCode="[$-2B]dd\,\ mmm\,\ yy">
                  <c:v>44826</c:v>
                </c:pt>
                <c:pt idx="433" formatCode="[$-2B]dd\,\ mmm\,\ yy">
                  <c:v>44827</c:v>
                </c:pt>
                <c:pt idx="434" formatCode="[$-2B]dd\,\ mmm\,\ yy">
                  <c:v>44830</c:v>
                </c:pt>
                <c:pt idx="435" formatCode="[$-2B]dd\,\ mmm\,\ yy">
                  <c:v>44831</c:v>
                </c:pt>
                <c:pt idx="436" formatCode="[$-2B]dd\,\ mmm\,\ yy">
                  <c:v>44832</c:v>
                </c:pt>
                <c:pt idx="437" formatCode="[$-2B]dd\,\ mmm\,\ yy">
                  <c:v>44833</c:v>
                </c:pt>
                <c:pt idx="438" formatCode="[$-2B]dd\,\ mmm\,\ yy">
                  <c:v>44834</c:v>
                </c:pt>
              </c:numCache>
            </c:numRef>
          </c:cat>
          <c:val>
            <c:numRef>
              <c:f>Sheet1!$B$2:$B$441</c:f>
              <c:numCache>
                <c:formatCode>_(* #,##0_);_(* \(#,##0\);_(* "-"??_);_(@_)</c:formatCode>
                <c:ptCount val="440"/>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pt idx="311">
                  <c:v>107.84066999463683</c:v>
                </c:pt>
                <c:pt idx="312">
                  <c:v>108.20449135879134</c:v>
                </c:pt>
                <c:pt idx="313">
                  <c:v>108.55499491268515</c:v>
                </c:pt>
                <c:pt idx="314">
                  <c:v>109.05544661854903</c:v>
                </c:pt>
                <c:pt idx="315">
                  <c:v>109.6179652771954</c:v>
                </c:pt>
                <c:pt idx="316">
                  <c:v>109.90140637810346</c:v>
                </c:pt>
                <c:pt idx="317">
                  <c:v>110.09813832027638</c:v>
                </c:pt>
                <c:pt idx="318">
                  <c:v>110.49605816583187</c:v>
                </c:pt>
                <c:pt idx="319">
                  <c:v>110.65978028491</c:v>
                </c:pt>
                <c:pt idx="320">
                  <c:v>110.87569722805462</c:v>
                </c:pt>
                <c:pt idx="321">
                  <c:v>110.89216019005607</c:v>
                </c:pt>
                <c:pt idx="322">
                  <c:v>110.91333404052197</c:v>
                </c:pt>
                <c:pt idx="323">
                  <c:v>111.03583034216179</c:v>
                </c:pt>
                <c:pt idx="324">
                  <c:v>111.41919396432309</c:v>
                </c:pt>
                <c:pt idx="325">
                  <c:v>111.76219082027499</c:v>
                </c:pt>
                <c:pt idx="326">
                  <c:v>111.87938709125157</c:v>
                </c:pt>
                <c:pt idx="327">
                  <c:v>112.06164794649753</c:v>
                </c:pt>
                <c:pt idx="328">
                  <c:v>112.87947488880259</c:v>
                </c:pt>
                <c:pt idx="329">
                  <c:v>113.65494151919654</c:v>
                </c:pt>
                <c:pt idx="330">
                  <c:v>114.47872643265383</c:v>
                </c:pt>
                <c:pt idx="331">
                  <c:v>115.33998146759041</c:v>
                </c:pt>
                <c:pt idx="332">
                  <c:v>116.26598465473153</c:v>
                </c:pt>
                <c:pt idx="333">
                  <c:v>115.97196033629855</c:v>
                </c:pt>
                <c:pt idx="334">
                  <c:v>114.99241141147753</c:v>
                </c:pt>
                <c:pt idx="335">
                  <c:v>112.55140046072042</c:v>
                </c:pt>
                <c:pt idx="336">
                  <c:v>110.20489902609728</c:v>
                </c:pt>
                <c:pt idx="337">
                  <c:v>110.61061272850378</c:v>
                </c:pt>
                <c:pt idx="338">
                  <c:v>111.97763831473434</c:v>
                </c:pt>
                <c:pt idx="339">
                  <c:v>113.61789059613592</c:v>
                </c:pt>
                <c:pt idx="340">
                  <c:v>114.66201693205251</c:v>
                </c:pt>
                <c:pt idx="341">
                  <c:v>114.90142640497596</c:v>
                </c:pt>
                <c:pt idx="342">
                  <c:v>114.93426548828214</c:v>
                </c:pt>
                <c:pt idx="343">
                  <c:v>114.27353603357454</c:v>
                </c:pt>
                <c:pt idx="344">
                  <c:v>113.79843273835442</c:v>
                </c:pt>
                <c:pt idx="345">
                  <c:v>113.9025665606345</c:v>
                </c:pt>
                <c:pt idx="346">
                  <c:v>114.71485309284012</c:v>
                </c:pt>
                <c:pt idx="347">
                  <c:v>115.48265959796781</c:v>
                </c:pt>
                <c:pt idx="348">
                  <c:v>115.99254509551602</c:v>
                </c:pt>
                <c:pt idx="349">
                  <c:v>116.91079455240741</c:v>
                </c:pt>
                <c:pt idx="350">
                  <c:v>116.64732919809011</c:v>
                </c:pt>
                <c:pt idx="351">
                  <c:v>116.28926061037464</c:v>
                </c:pt>
                <c:pt idx="352">
                  <c:v>116.69680126788549</c:v>
                </c:pt>
                <c:pt idx="353">
                  <c:v>117.31218023516745</c:v>
                </c:pt>
                <c:pt idx="354">
                  <c:v>117.94206560483694</c:v>
                </c:pt>
                <c:pt idx="355">
                  <c:v>118.77541747131666</c:v>
                </c:pt>
                <c:pt idx="356">
                  <c:v>119.4620903980623</c:v>
                </c:pt>
                <c:pt idx="357">
                  <c:v>120.49461820360943</c:v>
                </c:pt>
                <c:pt idx="358">
                  <c:v>121.35611318739996</c:v>
                </c:pt>
                <c:pt idx="359">
                  <c:v>122.47627972355635</c:v>
                </c:pt>
                <c:pt idx="360">
                  <c:v>123.89856618082719</c:v>
                </c:pt>
                <c:pt idx="361">
                  <c:v>124.87817695394618</c:v>
                </c:pt>
                <c:pt idx="362">
                  <c:v>124.58356170912477</c:v>
                </c:pt>
                <c:pt idx="363">
                  <c:v>123.17751284105373</c:v>
                </c:pt>
                <c:pt idx="364">
                  <c:v>122.28147732322884</c:v>
                </c:pt>
                <c:pt idx="365">
                  <c:v>122.92264284034805</c:v>
                </c:pt>
                <c:pt idx="366">
                  <c:v>124.16929909982669</c:v>
                </c:pt>
                <c:pt idx="367">
                  <c:v>125.36629817030773</c:v>
                </c:pt>
                <c:pt idx="368">
                  <c:v>126.70011148272025</c:v>
                </c:pt>
                <c:pt idx="369">
                  <c:v>127.25524560634835</c:v>
                </c:pt>
                <c:pt idx="370">
                  <c:v>127.95917368318003</c:v>
                </c:pt>
                <c:pt idx="371">
                  <c:v>127.62181427594969</c:v>
                </c:pt>
                <c:pt idx="372">
                  <c:v>128.01243909008554</c:v>
                </c:pt>
                <c:pt idx="373">
                  <c:v>128.03752051137624</c:v>
                </c:pt>
                <c:pt idx="374">
                  <c:v>128.3833894059577</c:v>
                </c:pt>
                <c:pt idx="375">
                  <c:v>128.15050864076488</c:v>
                </c:pt>
                <c:pt idx="376">
                  <c:v>128.2857283078132</c:v>
                </c:pt>
                <c:pt idx="377">
                  <c:v>128.07202351788348</c:v>
                </c:pt>
                <c:pt idx="378">
                  <c:v>127.70286775123367</c:v>
                </c:pt>
                <c:pt idx="379">
                  <c:v>127.30172644702569</c:v>
                </c:pt>
                <c:pt idx="380">
                  <c:v>127.21189410161583</c:v>
                </c:pt>
                <c:pt idx="381">
                  <c:v>127.18713507201254</c:v>
                </c:pt>
                <c:pt idx="382">
                  <c:v>126.94007381507392</c:v>
                </c:pt>
                <c:pt idx="383">
                  <c:v>126.69704093255469</c:v>
                </c:pt>
                <c:pt idx="384">
                  <c:v>126.45493686807613</c:v>
                </c:pt>
                <c:pt idx="385">
                  <c:v>125.95831827490673</c:v>
                </c:pt>
                <c:pt idx="386">
                  <c:v>125.86734079691834</c:v>
                </c:pt>
                <c:pt idx="387">
                  <c:v>125.79162656400392</c:v>
                </c:pt>
                <c:pt idx="388">
                  <c:v>126.02208080223708</c:v>
                </c:pt>
                <c:pt idx="389">
                  <c:v>126.55289276204314</c:v>
                </c:pt>
                <c:pt idx="390">
                  <c:v>127.10055431294374</c:v>
                </c:pt>
                <c:pt idx="391">
                  <c:v>127.68727254964224</c:v>
                </c:pt>
                <c:pt idx="392">
                  <c:v>128.18192963099185</c:v>
                </c:pt>
                <c:pt idx="393">
                  <c:v>128.5475423541273</c:v>
                </c:pt>
                <c:pt idx="394">
                  <c:v>128.22594491182466</c:v>
                </c:pt>
                <c:pt idx="395">
                  <c:v>128.28258042352718</c:v>
                </c:pt>
                <c:pt idx="396">
                  <c:v>128.45910017937445</c:v>
                </c:pt>
                <c:pt idx="397">
                  <c:v>128.63294129225929</c:v>
                </c:pt>
                <c:pt idx="398">
                  <c:v>128.78186968838531</c:v>
                </c:pt>
                <c:pt idx="399">
                  <c:v>128.72162308563554</c:v>
                </c:pt>
                <c:pt idx="400">
                  <c:v>128.57283391948062</c:v>
                </c:pt>
                <c:pt idx="401">
                  <c:v>128.6772669095206</c:v>
                </c:pt>
                <c:pt idx="402">
                  <c:v>128.83582236679982</c:v>
                </c:pt>
                <c:pt idx="403">
                  <c:v>128.73747198896803</c:v>
                </c:pt>
                <c:pt idx="404">
                  <c:v>128.79456037052555</c:v>
                </c:pt>
                <c:pt idx="405">
                  <c:v>128.70577808414788</c:v>
                </c:pt>
                <c:pt idx="406">
                  <c:v>128.73747198896803</c:v>
                </c:pt>
                <c:pt idx="407">
                  <c:v>128.77869740861175</c:v>
                </c:pt>
                <c:pt idx="408">
                  <c:v>128.83264742847291</c:v>
                </c:pt>
                <c:pt idx="409">
                  <c:v>129.03615944711842</c:v>
                </c:pt>
                <c:pt idx="410">
                  <c:v>128.93750308291823</c:v>
                </c:pt>
                <c:pt idx="411">
                  <c:v>129.10626528041888</c:v>
                </c:pt>
                <c:pt idx="412">
                  <c:v>129.12539827598988</c:v>
                </c:pt>
                <c:pt idx="413">
                  <c:v>129.10307699906164</c:v>
                </c:pt>
                <c:pt idx="414">
                  <c:v>129.14134677140461</c:v>
                </c:pt>
                <c:pt idx="415">
                  <c:v>129.04571484992104</c:v>
                </c:pt>
                <c:pt idx="416">
                  <c:v>129.15729920695708</c:v>
                </c:pt>
                <c:pt idx="417">
                  <c:v>129.22434249555073</c:v>
                </c:pt>
                <c:pt idx="418">
                  <c:v>129.16687256016209</c:v>
                </c:pt>
                <c:pt idx="419">
                  <c:v>129.21476062186414</c:v>
                </c:pt>
                <c:pt idx="420">
                  <c:v>129.16687256016209</c:v>
                </c:pt>
                <c:pt idx="421">
                  <c:v>129.14772727272728</c:v>
                </c:pt>
                <c:pt idx="422">
                  <c:v>129.11583106939986</c:v>
                </c:pt>
                <c:pt idx="423">
                  <c:v>129.04890029868429</c:v>
                </c:pt>
                <c:pt idx="424">
                  <c:v>128.98203888285798</c:v>
                </c:pt>
                <c:pt idx="425">
                  <c:v>128.93432313118109</c:v>
                </c:pt>
                <c:pt idx="426">
                  <c:v>128.85805131744351</c:v>
                </c:pt>
                <c:pt idx="427">
                  <c:v>128.53490030241193</c:v>
                </c:pt>
                <c:pt idx="428">
                  <c:v>127.15619983460623</c:v>
                </c:pt>
                <c:pt idx="429">
                  <c:v>125.67973651946055</c:v>
                </c:pt>
                <c:pt idx="430">
                  <c:v>124.97967965574948</c:v>
                </c:pt>
                <c:pt idx="431">
                  <c:v>125.09331929555898</c:v>
                </c:pt>
                <c:pt idx="432">
                  <c:v>125.05741077408862</c:v>
                </c:pt>
                <c:pt idx="433">
                  <c:v>125.58916088115889</c:v>
                </c:pt>
                <c:pt idx="434">
                  <c:v>126.56514792039899</c:v>
                </c:pt>
                <c:pt idx="435">
                  <c:v>127.56576057781466</c:v>
                </c:pt>
                <c:pt idx="436">
                  <c:v>128.12224291736106</c:v>
                </c:pt>
                <c:pt idx="437">
                  <c:v>128.78821471682312</c:v>
                </c:pt>
                <c:pt idx="438">
                  <c:v>128.87711080981146</c:v>
                </c:pt>
              </c:numCache>
            </c:numRef>
          </c:val>
          <c:smooth val="0"/>
          <c:extLst>
            <c:ext xmlns:c16="http://schemas.microsoft.com/office/drawing/2014/chart" uri="{C3380CC4-5D6E-409C-BE32-E72D297353CC}">
              <c16:uniqueId val="{00000000-823B-45F3-B65B-7D313BED2880}"/>
            </c:ext>
          </c:extLst>
        </c:ser>
        <c:ser>
          <c:idx val="1"/>
          <c:order val="1"/>
          <c:tx>
            <c:strRef>
              <c:f>Sheet1!$C$1</c:f>
              <c:strCache>
                <c:ptCount val="1"/>
                <c:pt idx="0">
                  <c:v>EUR</c:v>
                </c:pt>
              </c:strCache>
            </c:strRef>
          </c:tx>
          <c:spPr>
            <a:ln w="28575" cap="rnd">
              <a:solidFill>
                <a:srgbClr val="FFC000"/>
              </a:solidFill>
              <a:round/>
            </a:ln>
            <a:effectLst/>
          </c:spPr>
          <c:marker>
            <c:symbol val="none"/>
          </c:marker>
          <c:cat>
            <c:numRef>
              <c:f>Sheet1!$A$2:$A$441</c:f>
              <c:numCache>
                <c:formatCode>[$-2B]dd\-mmm\-yy</c:formatCode>
                <c:ptCount val="44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44592</c:v>
                </c:pt>
                <c:pt idx="269" formatCode="[$-2B]dd\,\ mmm\,\ yy">
                  <c:v>44593</c:v>
                </c:pt>
                <c:pt idx="270" formatCode="[$-2B]dd\,\ mmm\,\ yy">
                  <c:v>44594</c:v>
                </c:pt>
                <c:pt idx="271" formatCode="[$-2B]dd\,\ mmm\,\ yy">
                  <c:v>44595</c:v>
                </c:pt>
                <c:pt idx="272" formatCode="[$-2B]dd\,\ mmm\,\ yy">
                  <c:v>44596</c:v>
                </c:pt>
                <c:pt idx="273" formatCode="[$-2B]dd\,\ mmm\,\ yy">
                  <c:v>44599</c:v>
                </c:pt>
                <c:pt idx="274" formatCode="[$-2B]dd\,\ mmm\,\ yy">
                  <c:v>44600</c:v>
                </c:pt>
                <c:pt idx="275" formatCode="[$-2B]dd\,\ mmm\,\ yy">
                  <c:v>44601</c:v>
                </c:pt>
                <c:pt idx="276" formatCode="[$-2B]dd\,\ mmm\,\ yy">
                  <c:v>44602</c:v>
                </c:pt>
                <c:pt idx="277" formatCode="[$-2B]dd\,\ mmm\,\ yy">
                  <c:v>44603</c:v>
                </c:pt>
                <c:pt idx="278" formatCode="[$-2B]dd\,\ mmm\,\ yy">
                  <c:v>44606</c:v>
                </c:pt>
                <c:pt idx="279" formatCode="[$-2B]dd\,\ mmm\,\ yy">
                  <c:v>44607</c:v>
                </c:pt>
                <c:pt idx="280" formatCode="[$-2B]dd\,\ mmm\,\ yy">
                  <c:v>44608</c:v>
                </c:pt>
                <c:pt idx="281" formatCode="[$-2B]dd\,\ mmm\,\ yy">
                  <c:v>44609</c:v>
                </c:pt>
                <c:pt idx="282" formatCode="[$-2B]dd\,\ mmm\,\ yy">
                  <c:v>44610</c:v>
                </c:pt>
                <c:pt idx="283" formatCode="[$-2B]dd\,\ mmm\,\ yy">
                  <c:v>44613</c:v>
                </c:pt>
                <c:pt idx="284" formatCode="[$-2B]dd\,\ mmm\,\ yy">
                  <c:v>44614</c:v>
                </c:pt>
                <c:pt idx="285" formatCode="[$-2B]dd\,\ mmm\,\ yy">
                  <c:v>44615</c:v>
                </c:pt>
                <c:pt idx="286" formatCode="[$-2B]dd\,\ mmm\,\ yy">
                  <c:v>44616</c:v>
                </c:pt>
                <c:pt idx="287" formatCode="[$-2B]dd\,\ mmm\,\ yy">
                  <c:v>44617</c:v>
                </c:pt>
                <c:pt idx="288" formatCode="[$-2B]dd\,\ mmm\,\ yy">
                  <c:v>44620</c:v>
                </c:pt>
                <c:pt idx="289" formatCode="[$-2B]dd\,\ mmm\,\ yy">
                  <c:v>44621</c:v>
                </c:pt>
                <c:pt idx="290" formatCode="[$-2B]dd\,\ mmm\,\ yy">
                  <c:v>44622</c:v>
                </c:pt>
                <c:pt idx="291" formatCode="[$-2B]dd\,\ mmm\,\ yy">
                  <c:v>44623</c:v>
                </c:pt>
                <c:pt idx="292" formatCode="[$-2B]dd\,\ mmm\,\ yy">
                  <c:v>44624</c:v>
                </c:pt>
                <c:pt idx="293" formatCode="[$-2B]dd\,\ mmm\,\ yy">
                  <c:v>44627</c:v>
                </c:pt>
                <c:pt idx="294" formatCode="[$-2B]dd\,\ mmm\,\ yy">
                  <c:v>44629</c:v>
                </c:pt>
                <c:pt idx="295" formatCode="[$-2B]dd\,\ mmm\,\ yy">
                  <c:v>44630</c:v>
                </c:pt>
                <c:pt idx="296" formatCode="[$-2B]dd\,\ mmm\,\ yy">
                  <c:v>44631</c:v>
                </c:pt>
                <c:pt idx="297" formatCode="[$-2B]dd\,\ mmm\,\ yy">
                  <c:v>44634</c:v>
                </c:pt>
                <c:pt idx="298" formatCode="[$-2B]dd\,\ mmm\,\ yy">
                  <c:v>44635</c:v>
                </c:pt>
                <c:pt idx="299" formatCode="[$-2B]dd\,\ mmm\,\ yy">
                  <c:v>44636</c:v>
                </c:pt>
                <c:pt idx="300" formatCode="[$-2B]dd\,\ mmm\,\ yy">
                  <c:v>44637</c:v>
                </c:pt>
                <c:pt idx="301" formatCode="[$-2B]dd\,\ mmm\,\ yy">
                  <c:v>44638</c:v>
                </c:pt>
                <c:pt idx="302" formatCode="[$-2B]dd\,\ mmm\,\ yy">
                  <c:v>44641</c:v>
                </c:pt>
                <c:pt idx="303" formatCode="[$-2B]dd\,\ mmm\,\ yy">
                  <c:v>44642</c:v>
                </c:pt>
                <c:pt idx="304" formatCode="[$-2B]dd\,\ mmm\,\ yy">
                  <c:v>44643</c:v>
                </c:pt>
                <c:pt idx="305" formatCode="[$-2B]dd\,\ mmm\,\ yy">
                  <c:v>44644</c:v>
                </c:pt>
                <c:pt idx="306" formatCode="[$-2B]dd\,\ mmm\,\ yy">
                  <c:v>44645</c:v>
                </c:pt>
                <c:pt idx="307" formatCode="[$-2B]dd\,\ mmm\,\ yy">
                  <c:v>44648</c:v>
                </c:pt>
                <c:pt idx="308" formatCode="[$-2B]dd\,\ mmm\,\ yy">
                  <c:v>44649</c:v>
                </c:pt>
                <c:pt idx="309" formatCode="[$-2B]dd\,\ mmm\,\ yy">
                  <c:v>44650</c:v>
                </c:pt>
                <c:pt idx="310" formatCode="[$-2B]dd\,\ mmm\,\ yy">
                  <c:v>44651</c:v>
                </c:pt>
                <c:pt idx="311" formatCode="[$-2B]dd\,\ mmm\,\ yy">
                  <c:v>44652</c:v>
                </c:pt>
                <c:pt idx="312" formatCode="[$-2B]dd\,\ mmm\,\ yy">
                  <c:v>44655</c:v>
                </c:pt>
                <c:pt idx="313" formatCode="[$-2B]dd\,\ mmm\,\ yy">
                  <c:v>44656</c:v>
                </c:pt>
                <c:pt idx="314" formatCode="[$-2B]dd\,\ mmm\,\ yy">
                  <c:v>44657</c:v>
                </c:pt>
                <c:pt idx="315" formatCode="[$-2B]dd\,\ mmm\,\ yy">
                  <c:v>44658</c:v>
                </c:pt>
                <c:pt idx="316" formatCode="[$-2B]dd\,\ mmm\,\ yy">
                  <c:v>44659</c:v>
                </c:pt>
                <c:pt idx="317" formatCode="[$-2B]dd\,\ mmm\,\ yy">
                  <c:v>44662</c:v>
                </c:pt>
                <c:pt idx="318" formatCode="[$-2B]dd\,\ mmm\,\ yy">
                  <c:v>44663</c:v>
                </c:pt>
                <c:pt idx="319" formatCode="[$-2B]dd\,\ mmm\,\ yy">
                  <c:v>44664</c:v>
                </c:pt>
                <c:pt idx="320" formatCode="[$-2B]dd\,\ mmm\,\ yy">
                  <c:v>44665</c:v>
                </c:pt>
                <c:pt idx="321" formatCode="[$-2B]dd\,\ mmm\,\ yy">
                  <c:v>44666</c:v>
                </c:pt>
                <c:pt idx="322" formatCode="[$-2B]dd\,\ mmm\,\ yy">
                  <c:v>44669</c:v>
                </c:pt>
                <c:pt idx="323" formatCode="[$-2B]dd\,\ mmm\,\ yy">
                  <c:v>44670</c:v>
                </c:pt>
                <c:pt idx="324" formatCode="[$-2B]dd\,\ mmm\,\ yy">
                  <c:v>44671</c:v>
                </c:pt>
                <c:pt idx="325" formatCode="[$-2B]dd\,\ mmm\,\ yy">
                  <c:v>44672</c:v>
                </c:pt>
                <c:pt idx="326" formatCode="[$-2B]dd\,\ mmm\,\ yy">
                  <c:v>44673</c:v>
                </c:pt>
                <c:pt idx="327" formatCode="[$-2B]dd\,\ mmm\,\ yy">
                  <c:v>44676</c:v>
                </c:pt>
                <c:pt idx="328" formatCode="[$-2B]dd\,\ mmm\,\ yy">
                  <c:v>44677</c:v>
                </c:pt>
                <c:pt idx="329" formatCode="[$-2B]dd\,\ mmm\,\ yy">
                  <c:v>44678</c:v>
                </c:pt>
                <c:pt idx="330" formatCode="[$-2B]dd\,\ mmm\,\ yy">
                  <c:v>44679</c:v>
                </c:pt>
                <c:pt idx="331" formatCode="[$-2B]dd\,\ mmm\,\ yy">
                  <c:v>44680</c:v>
                </c:pt>
                <c:pt idx="332" formatCode="[$-2B]dd\,\ mmm\,\ yy">
                  <c:v>44683</c:v>
                </c:pt>
                <c:pt idx="333" formatCode="[$-2B]dd\,\ mmm\,\ yy">
                  <c:v>44684</c:v>
                </c:pt>
                <c:pt idx="334" formatCode="[$-2B]dd\,\ mmm\,\ yy">
                  <c:v>44685</c:v>
                </c:pt>
                <c:pt idx="335" formatCode="[$-2B]dd\,\ mmm\,\ yy">
                  <c:v>44686</c:v>
                </c:pt>
                <c:pt idx="336" formatCode="[$-2B]dd\,\ mmm\,\ yy">
                  <c:v>44687</c:v>
                </c:pt>
                <c:pt idx="337" formatCode="[$-2B]dd\,\ mmm\,\ yy">
                  <c:v>44691</c:v>
                </c:pt>
                <c:pt idx="338" formatCode="[$-2B]dd\,\ mmm\,\ yy">
                  <c:v>44692</c:v>
                </c:pt>
                <c:pt idx="339" formatCode="[$-2B]dd\,\ mmm\,\ yy">
                  <c:v>44693</c:v>
                </c:pt>
                <c:pt idx="340" formatCode="[$-2B]dd\,\ mmm\,\ yy">
                  <c:v>44694</c:v>
                </c:pt>
                <c:pt idx="341" formatCode="[$-2B]dd\,\ mmm\,\ yy">
                  <c:v>44697</c:v>
                </c:pt>
                <c:pt idx="342" formatCode="[$-2B]dd\,\ mmm\,\ yy">
                  <c:v>44698</c:v>
                </c:pt>
                <c:pt idx="343" formatCode="[$-2B]dd\,\ mmm\,\ yy">
                  <c:v>44699</c:v>
                </c:pt>
                <c:pt idx="344" formatCode="[$-2B]dd\,\ mmm\,\ yy">
                  <c:v>44700</c:v>
                </c:pt>
                <c:pt idx="345" formatCode="[$-2B]dd\,\ mmm\,\ yy">
                  <c:v>44701</c:v>
                </c:pt>
                <c:pt idx="346" formatCode="[$-2B]dd\,\ mmm\,\ yy">
                  <c:v>44704</c:v>
                </c:pt>
                <c:pt idx="347" formatCode="[$-2B]dd\,\ mmm\,\ yy">
                  <c:v>44705</c:v>
                </c:pt>
                <c:pt idx="348" formatCode="[$-2B]dd\,\ mmm\,\ yy">
                  <c:v>44706</c:v>
                </c:pt>
                <c:pt idx="349" formatCode="[$-2B]dd\,\ mmm\,\ yy">
                  <c:v>44707</c:v>
                </c:pt>
                <c:pt idx="350" formatCode="[$-2B]dd\,\ mmm\,\ yy">
                  <c:v>44708</c:v>
                </c:pt>
                <c:pt idx="351" formatCode="[$-2B]dd\,\ mmm\,\ yy">
                  <c:v>44711</c:v>
                </c:pt>
                <c:pt idx="352" formatCode="[$-2B]dd\,\ mmm\,\ yy">
                  <c:v>44712</c:v>
                </c:pt>
                <c:pt idx="353" formatCode="[$-2B]dd\,\ mmm\,\ yy">
                  <c:v>44713</c:v>
                </c:pt>
                <c:pt idx="354" formatCode="[$-2B]dd\,\ mmm\,\ yy">
                  <c:v>44714</c:v>
                </c:pt>
                <c:pt idx="355" formatCode="[$-2B]dd\,\ mmm\,\ yy">
                  <c:v>44715</c:v>
                </c:pt>
                <c:pt idx="356" formatCode="[$-2B]dd\,\ mmm\,\ yy">
                  <c:v>44718</c:v>
                </c:pt>
                <c:pt idx="357" formatCode="[$-2B]dd\,\ mmm\,\ yy">
                  <c:v>44719</c:v>
                </c:pt>
                <c:pt idx="358" formatCode="[$-2B]dd\,\ mmm\,\ yy">
                  <c:v>44720</c:v>
                </c:pt>
                <c:pt idx="359" formatCode="[$-2B]dd\,\ mmm\,\ yy">
                  <c:v>44721</c:v>
                </c:pt>
                <c:pt idx="360" formatCode="[$-2B]dd\,\ mmm\,\ yy">
                  <c:v>44722</c:v>
                </c:pt>
                <c:pt idx="361" formatCode="[$-2B]dd\,\ mmm\,\ yy">
                  <c:v>44725</c:v>
                </c:pt>
                <c:pt idx="362" formatCode="[$-2B]dd\,\ mmm\,\ yy">
                  <c:v>44726</c:v>
                </c:pt>
                <c:pt idx="363" formatCode="[$-2B]dd\,\ mmm\,\ yy">
                  <c:v>44727</c:v>
                </c:pt>
                <c:pt idx="364" formatCode="[$-2B]dd\,\ mmm\,\ yy">
                  <c:v>44728</c:v>
                </c:pt>
                <c:pt idx="365" formatCode="[$-2B]dd\,\ mmm\,\ yy">
                  <c:v>44729</c:v>
                </c:pt>
                <c:pt idx="366" formatCode="[$-2B]dd\,\ mmm\,\ yy">
                  <c:v>44732</c:v>
                </c:pt>
                <c:pt idx="367" formatCode="[$-2B]dd\,\ mmm\,\ yy">
                  <c:v>44733</c:v>
                </c:pt>
                <c:pt idx="368" formatCode="[$-2B]dd\,\ mmm\,\ yy">
                  <c:v>44734</c:v>
                </c:pt>
                <c:pt idx="369" formatCode="[$-2B]dd\,\ mmm\,\ yy">
                  <c:v>44735</c:v>
                </c:pt>
                <c:pt idx="370" formatCode="[$-2B]dd\,\ mmm\,\ yy">
                  <c:v>44736</c:v>
                </c:pt>
                <c:pt idx="371" formatCode="[$-2B]dd\,\ mmm\,\ yy">
                  <c:v>44739</c:v>
                </c:pt>
                <c:pt idx="372" formatCode="[$-2B]dd\,\ mmm\,\ yy">
                  <c:v>44740</c:v>
                </c:pt>
                <c:pt idx="373" formatCode="[$-2B]dd\,\ mmm\,\ yy">
                  <c:v>44741</c:v>
                </c:pt>
                <c:pt idx="374" formatCode="[$-2B]dd\,\ mmm\,\ yy">
                  <c:v>44742</c:v>
                </c:pt>
                <c:pt idx="375" formatCode="[$-2B]dd\,\ mmm\,\ yy">
                  <c:v>44743</c:v>
                </c:pt>
                <c:pt idx="376" formatCode="[$-2B]dd\,\ mmm\,\ yy">
                  <c:v>44746</c:v>
                </c:pt>
                <c:pt idx="377" formatCode="[$-2B]dd\,\ mmm\,\ yy">
                  <c:v>44748</c:v>
                </c:pt>
                <c:pt idx="378" formatCode="[$-2B]dd\,\ mmm\,\ yy">
                  <c:v>44749</c:v>
                </c:pt>
                <c:pt idx="379" formatCode="[$-2B]dd\,\ mmm\,\ yy">
                  <c:v>44750</c:v>
                </c:pt>
                <c:pt idx="380" formatCode="[$-2B]dd\,\ mmm\,\ yy">
                  <c:v>44753</c:v>
                </c:pt>
                <c:pt idx="381" formatCode="[$-2B]dd\,\ mmm\,\ yy">
                  <c:v>44754</c:v>
                </c:pt>
                <c:pt idx="382" formatCode="[$-2B]dd\,\ mmm\,\ yy">
                  <c:v>44755</c:v>
                </c:pt>
                <c:pt idx="383" formatCode="[$-2B]dd\,\ mmm\,\ yy">
                  <c:v>44756</c:v>
                </c:pt>
                <c:pt idx="384" formatCode="[$-2B]dd\,\ mmm\,\ yy">
                  <c:v>44757</c:v>
                </c:pt>
                <c:pt idx="385" formatCode="[$-2B]dd\,\ mmm\,\ yy">
                  <c:v>44760</c:v>
                </c:pt>
                <c:pt idx="386" formatCode="[$-2B]dd\,\ mmm\,\ yy">
                  <c:v>44761</c:v>
                </c:pt>
                <c:pt idx="387" formatCode="[$-2B]dd\,\ mmm\,\ yy">
                  <c:v>44762</c:v>
                </c:pt>
                <c:pt idx="388" formatCode="[$-2B]dd\,\ mmm\,\ yy">
                  <c:v>44763</c:v>
                </c:pt>
                <c:pt idx="389" formatCode="[$-2B]dd\,\ mmm\,\ yy">
                  <c:v>44764</c:v>
                </c:pt>
                <c:pt idx="390" formatCode="[$-2B]dd\,\ mmm\,\ yy">
                  <c:v>44767</c:v>
                </c:pt>
                <c:pt idx="391" formatCode="[$-2B]dd\,\ mmm\,\ yy">
                  <c:v>44768</c:v>
                </c:pt>
                <c:pt idx="392" formatCode="[$-2B]dd\,\ mmm\,\ yy">
                  <c:v>44769</c:v>
                </c:pt>
                <c:pt idx="393" formatCode="[$-2B]dd\,\ mmm\,\ yy">
                  <c:v>44770</c:v>
                </c:pt>
                <c:pt idx="394" formatCode="[$-2B]dd\,\ mmm\,\ yy">
                  <c:v>44771</c:v>
                </c:pt>
                <c:pt idx="395" formatCode="[$-2B]dd\,\ mmm\,\ yy">
                  <c:v>44774</c:v>
                </c:pt>
                <c:pt idx="396" formatCode="[$-2B]dd\,\ mmm\,\ yy">
                  <c:v>44775</c:v>
                </c:pt>
                <c:pt idx="397" formatCode="[$-2B]dd\,\ mmm\,\ yy">
                  <c:v>44776</c:v>
                </c:pt>
                <c:pt idx="398" formatCode="[$-2B]dd\,\ mmm\,\ yy">
                  <c:v>44777</c:v>
                </c:pt>
                <c:pt idx="399" formatCode="[$-2B]dd\,\ mmm\,\ yy">
                  <c:v>44778</c:v>
                </c:pt>
                <c:pt idx="400" formatCode="[$-2B]dd\,\ mmm\,\ yy">
                  <c:v>44781</c:v>
                </c:pt>
                <c:pt idx="401" formatCode="[$-2B]dd\,\ mmm\,\ yy">
                  <c:v>44782</c:v>
                </c:pt>
                <c:pt idx="402" formatCode="[$-2B]dd\,\ mmm\,\ yy">
                  <c:v>44783</c:v>
                </c:pt>
                <c:pt idx="403" formatCode="[$-2B]dd\,\ mmm\,\ yy">
                  <c:v>44784</c:v>
                </c:pt>
                <c:pt idx="404" formatCode="[$-2B]dd\,\ mmm\,\ yy">
                  <c:v>44785</c:v>
                </c:pt>
                <c:pt idx="405" formatCode="[$-2B]dd\,\ mmm\,\ yy">
                  <c:v>44788</c:v>
                </c:pt>
                <c:pt idx="406" formatCode="[$-2B]dd\,\ mmm\,\ yy">
                  <c:v>44789</c:v>
                </c:pt>
                <c:pt idx="407" formatCode="[$-2B]dd\,\ mmm\,\ yy">
                  <c:v>44790</c:v>
                </c:pt>
                <c:pt idx="408" formatCode="[$-2B]dd\,\ mmm\,\ yy">
                  <c:v>44791</c:v>
                </c:pt>
                <c:pt idx="409" formatCode="[$-2B]dd\,\ mmm\,\ yy">
                  <c:v>44792</c:v>
                </c:pt>
                <c:pt idx="410" formatCode="[$-2B]dd\,\ mmm\,\ yy">
                  <c:v>44795</c:v>
                </c:pt>
                <c:pt idx="411" formatCode="[$-2B]dd\,\ mmm\,\ yy">
                  <c:v>44796</c:v>
                </c:pt>
                <c:pt idx="412" formatCode="[$-2B]dd\,\ mmm\,\ yy">
                  <c:v>44797</c:v>
                </c:pt>
                <c:pt idx="413" formatCode="[$-2B]dd\,\ mmm\,\ yy">
                  <c:v>44798</c:v>
                </c:pt>
                <c:pt idx="414" formatCode="[$-2B]dd\,\ mmm\,\ yy">
                  <c:v>44799</c:v>
                </c:pt>
                <c:pt idx="415" formatCode="[$-2B]dd\,\ mmm\,\ yy">
                  <c:v>44802</c:v>
                </c:pt>
                <c:pt idx="416" formatCode="[$-2B]dd\,\ mmm\,\ yy">
                  <c:v>44803</c:v>
                </c:pt>
                <c:pt idx="417" formatCode="[$-2B]dd\,\ mmm\,\ yy">
                  <c:v>44804</c:v>
                </c:pt>
                <c:pt idx="418" formatCode="[$-2B]dd\,\ mmm\,\ yy">
                  <c:v>44805</c:v>
                </c:pt>
                <c:pt idx="419" formatCode="[$-2B]dd\,\ mmm\,\ yy">
                  <c:v>44806</c:v>
                </c:pt>
                <c:pt idx="420" formatCode="[$-2B]dd\,\ mmm\,\ yy">
                  <c:v>44809</c:v>
                </c:pt>
                <c:pt idx="421" formatCode="[$-2B]dd\,\ mmm\,\ yy">
                  <c:v>44810</c:v>
                </c:pt>
                <c:pt idx="422" formatCode="[$-2B]dd\,\ mmm\,\ yy">
                  <c:v>44811</c:v>
                </c:pt>
                <c:pt idx="423" formatCode="[$-2B]dd\,\ mmm\,\ yy">
                  <c:v>44812</c:v>
                </c:pt>
                <c:pt idx="424" formatCode="[$-2B]dd\,\ mmm\,\ yy">
                  <c:v>44813</c:v>
                </c:pt>
                <c:pt idx="425" formatCode="[$-2B]dd\,\ mmm\,\ yy">
                  <c:v>44816</c:v>
                </c:pt>
                <c:pt idx="426" formatCode="[$-2B]dd\,\ mmm\,\ yy">
                  <c:v>44817</c:v>
                </c:pt>
                <c:pt idx="427" formatCode="[$-2B]dd\,\ mmm\,\ yy">
                  <c:v>44818</c:v>
                </c:pt>
                <c:pt idx="428" formatCode="[$-2B]dd\,\ mmm\,\ yy">
                  <c:v>44819</c:v>
                </c:pt>
                <c:pt idx="429" formatCode="[$-2B]dd\,\ mmm\,\ yy">
                  <c:v>44820</c:v>
                </c:pt>
                <c:pt idx="430" formatCode="[$-2B]dd\,\ mmm\,\ yy">
                  <c:v>44823</c:v>
                </c:pt>
                <c:pt idx="431" formatCode="[$-2B]dd\,\ mmm\,\ yy">
                  <c:v>44824</c:v>
                </c:pt>
                <c:pt idx="432" formatCode="[$-2B]dd\,\ mmm\,\ yy">
                  <c:v>44826</c:v>
                </c:pt>
                <c:pt idx="433" formatCode="[$-2B]dd\,\ mmm\,\ yy">
                  <c:v>44827</c:v>
                </c:pt>
                <c:pt idx="434" formatCode="[$-2B]dd\,\ mmm\,\ yy">
                  <c:v>44830</c:v>
                </c:pt>
                <c:pt idx="435" formatCode="[$-2B]dd\,\ mmm\,\ yy">
                  <c:v>44831</c:v>
                </c:pt>
                <c:pt idx="436" formatCode="[$-2B]dd\,\ mmm\,\ yy">
                  <c:v>44832</c:v>
                </c:pt>
                <c:pt idx="437" formatCode="[$-2B]dd\,\ mmm\,\ yy">
                  <c:v>44833</c:v>
                </c:pt>
                <c:pt idx="438" formatCode="[$-2B]dd\,\ mmm\,\ yy">
                  <c:v>44834</c:v>
                </c:pt>
              </c:numCache>
            </c:numRef>
          </c:cat>
          <c:val>
            <c:numRef>
              <c:f>Sheet1!$C$2:$C$441</c:f>
              <c:numCache>
                <c:formatCode>_(* #,##0_);_(* \(#,##0\);_(* "-"??_);_(@_)</c:formatCode>
                <c:ptCount val="440"/>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pt idx="311">
                  <c:v>119.2966098534291</c:v>
                </c:pt>
                <c:pt idx="312">
                  <c:v>120.34009894471491</c:v>
                </c:pt>
                <c:pt idx="313">
                  <c:v>121.10324461439424</c:v>
                </c:pt>
                <c:pt idx="314">
                  <c:v>122.27446483180407</c:v>
                </c:pt>
                <c:pt idx="315">
                  <c:v>123.1429616369269</c:v>
                </c:pt>
                <c:pt idx="316">
                  <c:v>123.55201915834586</c:v>
                </c:pt>
                <c:pt idx="317">
                  <c:v>123.46617774775625</c:v>
                </c:pt>
                <c:pt idx="318">
                  <c:v>124.41462465966528</c:v>
                </c:pt>
                <c:pt idx="319">
                  <c:v>125.08358588327283</c:v>
                </c:pt>
                <c:pt idx="320">
                  <c:v>124.41946400093332</c:v>
                </c:pt>
                <c:pt idx="321">
                  <c:v>125.55492316448469</c:v>
                </c:pt>
                <c:pt idx="322">
                  <c:v>125.65850209188562</c:v>
                </c:pt>
                <c:pt idx="323">
                  <c:v>125.91572027476506</c:v>
                </c:pt>
                <c:pt idx="324">
                  <c:v>125.60422515854138</c:v>
                </c:pt>
                <c:pt idx="325">
                  <c:v>125.48350398179726</c:v>
                </c:pt>
                <c:pt idx="326">
                  <c:v>126.59094506886156</c:v>
                </c:pt>
                <c:pt idx="327">
                  <c:v>127.81251873014581</c:v>
                </c:pt>
                <c:pt idx="328">
                  <c:v>129.227350772649</c:v>
                </c:pt>
                <c:pt idx="329">
                  <c:v>131.12113137938081</c:v>
                </c:pt>
                <c:pt idx="330">
                  <c:v>133.46824668280041</c:v>
                </c:pt>
                <c:pt idx="331">
                  <c:v>133.58251028376915</c:v>
                </c:pt>
                <c:pt idx="332">
                  <c:v>135.17728098719496</c:v>
                </c:pt>
                <c:pt idx="333">
                  <c:v>135.10591117399821</c:v>
                </c:pt>
                <c:pt idx="334">
                  <c:v>133.67182766041893</c:v>
                </c:pt>
                <c:pt idx="335">
                  <c:v>129.94657837541365</c:v>
                </c:pt>
                <c:pt idx="336">
                  <c:v>127.41794136392586</c:v>
                </c:pt>
                <c:pt idx="337">
                  <c:v>128.25067158494025</c:v>
                </c:pt>
                <c:pt idx="338">
                  <c:v>129.97033846653912</c:v>
                </c:pt>
                <c:pt idx="339">
                  <c:v>133.2125603864732</c:v>
                </c:pt>
                <c:pt idx="340">
                  <c:v>135.0574227326463</c:v>
                </c:pt>
                <c:pt idx="341">
                  <c:v>134.74451324824111</c:v>
                </c:pt>
                <c:pt idx="342">
                  <c:v>133.75567124547848</c:v>
                </c:pt>
                <c:pt idx="343">
                  <c:v>132.94956254286228</c:v>
                </c:pt>
                <c:pt idx="344">
                  <c:v>132.15857210733964</c:v>
                </c:pt>
                <c:pt idx="345">
                  <c:v>131.70420389508769</c:v>
                </c:pt>
                <c:pt idx="346">
                  <c:v>131.47683834107423</c:v>
                </c:pt>
                <c:pt idx="347">
                  <c:v>131.98407295083638</c:v>
                </c:pt>
                <c:pt idx="348">
                  <c:v>133.06570709486846</c:v>
                </c:pt>
                <c:pt idx="349">
                  <c:v>133.5044554352134</c:v>
                </c:pt>
                <c:pt idx="350">
                  <c:v>133.42927460059215</c:v>
                </c:pt>
                <c:pt idx="351">
                  <c:v>132.06853839801801</c:v>
                </c:pt>
                <c:pt idx="352">
                  <c:v>133.58529964501969</c:v>
                </c:pt>
                <c:pt idx="353">
                  <c:v>133.95171590694932</c:v>
                </c:pt>
                <c:pt idx="354">
                  <c:v>134.97193974429283</c:v>
                </c:pt>
                <c:pt idx="355">
                  <c:v>135.36892443767309</c:v>
                </c:pt>
                <c:pt idx="356">
                  <c:v>136.29178295234223</c:v>
                </c:pt>
                <c:pt idx="357">
                  <c:v>138.1399667465611</c:v>
                </c:pt>
                <c:pt idx="358">
                  <c:v>138.58284773519901</c:v>
                </c:pt>
                <c:pt idx="359">
                  <c:v>139.84610676343269</c:v>
                </c:pt>
                <c:pt idx="360">
                  <c:v>143.15379623621004</c:v>
                </c:pt>
                <c:pt idx="361">
                  <c:v>145.99602911978801</c:v>
                </c:pt>
                <c:pt idx="362">
                  <c:v>146.08270728198548</c:v>
                </c:pt>
                <c:pt idx="363">
                  <c:v>143.84260820685756</c:v>
                </c:pt>
                <c:pt idx="364">
                  <c:v>143.86848674297769</c:v>
                </c:pt>
                <c:pt idx="365">
                  <c:v>143.0257774598133</c:v>
                </c:pt>
                <c:pt idx="366">
                  <c:v>144.25778519403769</c:v>
                </c:pt>
                <c:pt idx="367">
                  <c:v>145.37232712977459</c:v>
                </c:pt>
                <c:pt idx="368">
                  <c:v>147.37836343531123</c:v>
                </c:pt>
                <c:pt idx="369">
                  <c:v>148.26643181607466</c:v>
                </c:pt>
                <c:pt idx="370">
                  <c:v>148.5901426116038</c:v>
                </c:pt>
                <c:pt idx="371">
                  <c:v>147.56873961985585</c:v>
                </c:pt>
                <c:pt idx="372">
                  <c:v>148.10510475749487</c:v>
                </c:pt>
                <c:pt idx="373">
                  <c:v>148.8632926119835</c:v>
                </c:pt>
                <c:pt idx="374">
                  <c:v>151.04594607357018</c:v>
                </c:pt>
                <c:pt idx="375">
                  <c:v>150.05042805206969</c:v>
                </c:pt>
                <c:pt idx="376">
                  <c:v>150.20896924160581</c:v>
                </c:pt>
                <c:pt idx="377">
                  <c:v>153.66544965411202</c:v>
                </c:pt>
                <c:pt idx="378">
                  <c:v>153.35602646466563</c:v>
                </c:pt>
                <c:pt idx="379">
                  <c:v>153.59903961584615</c:v>
                </c:pt>
                <c:pt idx="380">
                  <c:v>153.93166506255997</c:v>
                </c:pt>
                <c:pt idx="381">
                  <c:v>155.31439669822754</c:v>
                </c:pt>
                <c:pt idx="382">
                  <c:v>154.44076962074192</c:v>
                </c:pt>
                <c:pt idx="383">
                  <c:v>154.83699203717578</c:v>
                </c:pt>
                <c:pt idx="384">
                  <c:v>153.83542538354234</c:v>
                </c:pt>
                <c:pt idx="385">
                  <c:v>151.78418904811596</c:v>
                </c:pt>
                <c:pt idx="386">
                  <c:v>150.19486312626174</c:v>
                </c:pt>
                <c:pt idx="387">
                  <c:v>151.00316291365698</c:v>
                </c:pt>
                <c:pt idx="388">
                  <c:v>151.32462863090149</c:v>
                </c:pt>
                <c:pt idx="389">
                  <c:v>152.29003999238222</c:v>
                </c:pt>
                <c:pt idx="390">
                  <c:v>152.00779356555606</c:v>
                </c:pt>
                <c:pt idx="391">
                  <c:v>153.94277739009055</c:v>
                </c:pt>
                <c:pt idx="392">
                  <c:v>154.46314315377725</c:v>
                </c:pt>
                <c:pt idx="393">
                  <c:v>155.22395302567071</c:v>
                </c:pt>
                <c:pt idx="394">
                  <c:v>153.24949095700066</c:v>
                </c:pt>
                <c:pt idx="395">
                  <c:v>153.12111057922434</c:v>
                </c:pt>
                <c:pt idx="396">
                  <c:v>153.72083523560065</c:v>
                </c:pt>
                <c:pt idx="397">
                  <c:v>154.48925380342894</c:v>
                </c:pt>
                <c:pt idx="398">
                  <c:v>154.65358023497541</c:v>
                </c:pt>
                <c:pt idx="399">
                  <c:v>153.91685112116238</c:v>
                </c:pt>
                <c:pt idx="400">
                  <c:v>154.38486413436928</c:v>
                </c:pt>
                <c:pt idx="401">
                  <c:v>153.96871239470505</c:v>
                </c:pt>
                <c:pt idx="402">
                  <c:v>153.97612400115517</c:v>
                </c:pt>
                <c:pt idx="403">
                  <c:v>152.39887560150547</c:v>
                </c:pt>
                <c:pt idx="404">
                  <c:v>153.20911964747572</c:v>
                </c:pt>
                <c:pt idx="405">
                  <c:v>154.41094832371888</c:v>
                </c:pt>
                <c:pt idx="406">
                  <c:v>155.49938018035527</c:v>
                </c:pt>
                <c:pt idx="407">
                  <c:v>154.92323339952529</c:v>
                </c:pt>
                <c:pt idx="408">
                  <c:v>154.97202102662234</c:v>
                </c:pt>
                <c:pt idx="409">
                  <c:v>156.99141104294472</c:v>
                </c:pt>
                <c:pt idx="410">
                  <c:v>157.59083630989031</c:v>
                </c:pt>
                <c:pt idx="411">
                  <c:v>159.19870598482012</c:v>
                </c:pt>
                <c:pt idx="412">
                  <c:v>159.28590991708779</c:v>
                </c:pt>
                <c:pt idx="413">
                  <c:v>158.36324479540551</c:v>
                </c:pt>
                <c:pt idx="414">
                  <c:v>157.83967827095302</c:v>
                </c:pt>
                <c:pt idx="415">
                  <c:v>158.10493537305678</c:v>
                </c:pt>
                <c:pt idx="416">
                  <c:v>157.52874836866849</c:v>
                </c:pt>
                <c:pt idx="417">
                  <c:v>158.4966429650917</c:v>
                </c:pt>
                <c:pt idx="418">
                  <c:v>157.82410262735897</c:v>
                </c:pt>
                <c:pt idx="419">
                  <c:v>158.16747842856074</c:v>
                </c:pt>
                <c:pt idx="420">
                  <c:v>159.14326227020564</c:v>
                </c:pt>
                <c:pt idx="421">
                  <c:v>159.15118043635087</c:v>
                </c:pt>
                <c:pt idx="422">
                  <c:v>159.56401366822129</c:v>
                </c:pt>
                <c:pt idx="423">
                  <c:v>157.77739413520101</c:v>
                </c:pt>
                <c:pt idx="424">
                  <c:v>156.67613636363626</c:v>
                </c:pt>
                <c:pt idx="425">
                  <c:v>155.61285300771073</c:v>
                </c:pt>
                <c:pt idx="426">
                  <c:v>154.92698520330313</c:v>
                </c:pt>
                <c:pt idx="427">
                  <c:v>157.18041325765944</c:v>
                </c:pt>
                <c:pt idx="428">
                  <c:v>155.88206627680304</c:v>
                </c:pt>
                <c:pt idx="429">
                  <c:v>154.02431684121817</c:v>
                </c:pt>
                <c:pt idx="430">
                  <c:v>153.01490109784967</c:v>
                </c:pt>
                <c:pt idx="431">
                  <c:v>153.00026307607675</c:v>
                </c:pt>
                <c:pt idx="432">
                  <c:v>155.06592980414962</c:v>
                </c:pt>
                <c:pt idx="433">
                  <c:v>157.55978622269285</c:v>
                </c:pt>
                <c:pt idx="434">
                  <c:v>160.61359242800827</c:v>
                </c:pt>
                <c:pt idx="435">
                  <c:v>162.15243454236682</c:v>
                </c:pt>
                <c:pt idx="436">
                  <c:v>163.9140126572548</c:v>
                </c:pt>
                <c:pt idx="437">
                  <c:v>162.27171266233759</c:v>
                </c:pt>
                <c:pt idx="438">
                  <c:v>161.51787517673191</c:v>
                </c:pt>
              </c:numCache>
            </c:numRef>
          </c:val>
          <c:smooth val="0"/>
          <c:extLst>
            <c:ext xmlns:c16="http://schemas.microsoft.com/office/drawing/2014/chart" uri="{C3380CC4-5D6E-409C-BE32-E72D297353CC}">
              <c16:uniqueId val="{00000001-823B-45F3-B65B-7D313BED2880}"/>
            </c:ext>
          </c:extLst>
        </c:ser>
        <c:ser>
          <c:idx val="2"/>
          <c:order val="2"/>
          <c:tx>
            <c:strRef>
              <c:f>Sheet1!$D$1</c:f>
              <c:strCache>
                <c:ptCount val="1"/>
                <c:pt idx="0">
                  <c:v>RUB</c:v>
                </c:pt>
              </c:strCache>
            </c:strRef>
          </c:tx>
          <c:spPr>
            <a:ln w="28575" cap="rnd">
              <a:solidFill>
                <a:srgbClr val="C00000"/>
              </a:solidFill>
              <a:round/>
            </a:ln>
            <a:effectLst/>
          </c:spPr>
          <c:marker>
            <c:symbol val="none"/>
          </c:marker>
          <c:cat>
            <c:numRef>
              <c:f>Sheet1!$A$2:$A$441</c:f>
              <c:numCache>
                <c:formatCode>[$-2B]dd\-mmm\-yy</c:formatCode>
                <c:ptCount val="44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44592</c:v>
                </c:pt>
                <c:pt idx="269" formatCode="[$-2B]dd\,\ mmm\,\ yy">
                  <c:v>44593</c:v>
                </c:pt>
                <c:pt idx="270" formatCode="[$-2B]dd\,\ mmm\,\ yy">
                  <c:v>44594</c:v>
                </c:pt>
                <c:pt idx="271" formatCode="[$-2B]dd\,\ mmm\,\ yy">
                  <c:v>44595</c:v>
                </c:pt>
                <c:pt idx="272" formatCode="[$-2B]dd\,\ mmm\,\ yy">
                  <c:v>44596</c:v>
                </c:pt>
                <c:pt idx="273" formatCode="[$-2B]dd\,\ mmm\,\ yy">
                  <c:v>44599</c:v>
                </c:pt>
                <c:pt idx="274" formatCode="[$-2B]dd\,\ mmm\,\ yy">
                  <c:v>44600</c:v>
                </c:pt>
                <c:pt idx="275" formatCode="[$-2B]dd\,\ mmm\,\ yy">
                  <c:v>44601</c:v>
                </c:pt>
                <c:pt idx="276" formatCode="[$-2B]dd\,\ mmm\,\ yy">
                  <c:v>44602</c:v>
                </c:pt>
                <c:pt idx="277" formatCode="[$-2B]dd\,\ mmm\,\ yy">
                  <c:v>44603</c:v>
                </c:pt>
                <c:pt idx="278" formatCode="[$-2B]dd\,\ mmm\,\ yy">
                  <c:v>44606</c:v>
                </c:pt>
                <c:pt idx="279" formatCode="[$-2B]dd\,\ mmm\,\ yy">
                  <c:v>44607</c:v>
                </c:pt>
                <c:pt idx="280" formatCode="[$-2B]dd\,\ mmm\,\ yy">
                  <c:v>44608</c:v>
                </c:pt>
                <c:pt idx="281" formatCode="[$-2B]dd\,\ mmm\,\ yy">
                  <c:v>44609</c:v>
                </c:pt>
                <c:pt idx="282" formatCode="[$-2B]dd\,\ mmm\,\ yy">
                  <c:v>44610</c:v>
                </c:pt>
                <c:pt idx="283" formatCode="[$-2B]dd\,\ mmm\,\ yy">
                  <c:v>44613</c:v>
                </c:pt>
                <c:pt idx="284" formatCode="[$-2B]dd\,\ mmm\,\ yy">
                  <c:v>44614</c:v>
                </c:pt>
                <c:pt idx="285" formatCode="[$-2B]dd\,\ mmm\,\ yy">
                  <c:v>44615</c:v>
                </c:pt>
                <c:pt idx="286" formatCode="[$-2B]dd\,\ mmm\,\ yy">
                  <c:v>44616</c:v>
                </c:pt>
                <c:pt idx="287" formatCode="[$-2B]dd\,\ mmm\,\ yy">
                  <c:v>44617</c:v>
                </c:pt>
                <c:pt idx="288" formatCode="[$-2B]dd\,\ mmm\,\ yy">
                  <c:v>44620</c:v>
                </c:pt>
                <c:pt idx="289" formatCode="[$-2B]dd\,\ mmm\,\ yy">
                  <c:v>44621</c:v>
                </c:pt>
                <c:pt idx="290" formatCode="[$-2B]dd\,\ mmm\,\ yy">
                  <c:v>44622</c:v>
                </c:pt>
                <c:pt idx="291" formatCode="[$-2B]dd\,\ mmm\,\ yy">
                  <c:v>44623</c:v>
                </c:pt>
                <c:pt idx="292" formatCode="[$-2B]dd\,\ mmm\,\ yy">
                  <c:v>44624</c:v>
                </c:pt>
                <c:pt idx="293" formatCode="[$-2B]dd\,\ mmm\,\ yy">
                  <c:v>44627</c:v>
                </c:pt>
                <c:pt idx="294" formatCode="[$-2B]dd\,\ mmm\,\ yy">
                  <c:v>44629</c:v>
                </c:pt>
                <c:pt idx="295" formatCode="[$-2B]dd\,\ mmm\,\ yy">
                  <c:v>44630</c:v>
                </c:pt>
                <c:pt idx="296" formatCode="[$-2B]dd\,\ mmm\,\ yy">
                  <c:v>44631</c:v>
                </c:pt>
                <c:pt idx="297" formatCode="[$-2B]dd\,\ mmm\,\ yy">
                  <c:v>44634</c:v>
                </c:pt>
                <c:pt idx="298" formatCode="[$-2B]dd\,\ mmm\,\ yy">
                  <c:v>44635</c:v>
                </c:pt>
                <c:pt idx="299" formatCode="[$-2B]dd\,\ mmm\,\ yy">
                  <c:v>44636</c:v>
                </c:pt>
                <c:pt idx="300" formatCode="[$-2B]dd\,\ mmm\,\ yy">
                  <c:v>44637</c:v>
                </c:pt>
                <c:pt idx="301" formatCode="[$-2B]dd\,\ mmm\,\ yy">
                  <c:v>44638</c:v>
                </c:pt>
                <c:pt idx="302" formatCode="[$-2B]dd\,\ mmm\,\ yy">
                  <c:v>44641</c:v>
                </c:pt>
                <c:pt idx="303" formatCode="[$-2B]dd\,\ mmm\,\ yy">
                  <c:v>44642</c:v>
                </c:pt>
                <c:pt idx="304" formatCode="[$-2B]dd\,\ mmm\,\ yy">
                  <c:v>44643</c:v>
                </c:pt>
                <c:pt idx="305" formatCode="[$-2B]dd\,\ mmm\,\ yy">
                  <c:v>44644</c:v>
                </c:pt>
                <c:pt idx="306" formatCode="[$-2B]dd\,\ mmm\,\ yy">
                  <c:v>44645</c:v>
                </c:pt>
                <c:pt idx="307" formatCode="[$-2B]dd\,\ mmm\,\ yy">
                  <c:v>44648</c:v>
                </c:pt>
                <c:pt idx="308" formatCode="[$-2B]dd\,\ mmm\,\ yy">
                  <c:v>44649</c:v>
                </c:pt>
                <c:pt idx="309" formatCode="[$-2B]dd\,\ mmm\,\ yy">
                  <c:v>44650</c:v>
                </c:pt>
                <c:pt idx="310" formatCode="[$-2B]dd\,\ mmm\,\ yy">
                  <c:v>44651</c:v>
                </c:pt>
                <c:pt idx="311" formatCode="[$-2B]dd\,\ mmm\,\ yy">
                  <c:v>44652</c:v>
                </c:pt>
                <c:pt idx="312" formatCode="[$-2B]dd\,\ mmm\,\ yy">
                  <c:v>44655</c:v>
                </c:pt>
                <c:pt idx="313" formatCode="[$-2B]dd\,\ mmm\,\ yy">
                  <c:v>44656</c:v>
                </c:pt>
                <c:pt idx="314" formatCode="[$-2B]dd\,\ mmm\,\ yy">
                  <c:v>44657</c:v>
                </c:pt>
                <c:pt idx="315" formatCode="[$-2B]dd\,\ mmm\,\ yy">
                  <c:v>44658</c:v>
                </c:pt>
                <c:pt idx="316" formatCode="[$-2B]dd\,\ mmm\,\ yy">
                  <c:v>44659</c:v>
                </c:pt>
                <c:pt idx="317" formatCode="[$-2B]dd\,\ mmm\,\ yy">
                  <c:v>44662</c:v>
                </c:pt>
                <c:pt idx="318" formatCode="[$-2B]dd\,\ mmm\,\ yy">
                  <c:v>44663</c:v>
                </c:pt>
                <c:pt idx="319" formatCode="[$-2B]dd\,\ mmm\,\ yy">
                  <c:v>44664</c:v>
                </c:pt>
                <c:pt idx="320" formatCode="[$-2B]dd\,\ mmm\,\ yy">
                  <c:v>44665</c:v>
                </c:pt>
                <c:pt idx="321" formatCode="[$-2B]dd\,\ mmm\,\ yy">
                  <c:v>44666</c:v>
                </c:pt>
                <c:pt idx="322" formatCode="[$-2B]dd\,\ mmm\,\ yy">
                  <c:v>44669</c:v>
                </c:pt>
                <c:pt idx="323" formatCode="[$-2B]dd\,\ mmm\,\ yy">
                  <c:v>44670</c:v>
                </c:pt>
                <c:pt idx="324" formatCode="[$-2B]dd\,\ mmm\,\ yy">
                  <c:v>44671</c:v>
                </c:pt>
                <c:pt idx="325" formatCode="[$-2B]dd\,\ mmm\,\ yy">
                  <c:v>44672</c:v>
                </c:pt>
                <c:pt idx="326" formatCode="[$-2B]dd\,\ mmm\,\ yy">
                  <c:v>44673</c:v>
                </c:pt>
                <c:pt idx="327" formatCode="[$-2B]dd\,\ mmm\,\ yy">
                  <c:v>44676</c:v>
                </c:pt>
                <c:pt idx="328" formatCode="[$-2B]dd\,\ mmm\,\ yy">
                  <c:v>44677</c:v>
                </c:pt>
                <c:pt idx="329" formatCode="[$-2B]dd\,\ mmm\,\ yy">
                  <c:v>44678</c:v>
                </c:pt>
                <c:pt idx="330" formatCode="[$-2B]dd\,\ mmm\,\ yy">
                  <c:v>44679</c:v>
                </c:pt>
                <c:pt idx="331" formatCode="[$-2B]dd\,\ mmm\,\ yy">
                  <c:v>44680</c:v>
                </c:pt>
                <c:pt idx="332" formatCode="[$-2B]dd\,\ mmm\,\ yy">
                  <c:v>44683</c:v>
                </c:pt>
                <c:pt idx="333" formatCode="[$-2B]dd\,\ mmm\,\ yy">
                  <c:v>44684</c:v>
                </c:pt>
                <c:pt idx="334" formatCode="[$-2B]dd\,\ mmm\,\ yy">
                  <c:v>44685</c:v>
                </c:pt>
                <c:pt idx="335" formatCode="[$-2B]dd\,\ mmm\,\ yy">
                  <c:v>44686</c:v>
                </c:pt>
                <c:pt idx="336" formatCode="[$-2B]dd\,\ mmm\,\ yy">
                  <c:v>44687</c:v>
                </c:pt>
                <c:pt idx="337" formatCode="[$-2B]dd\,\ mmm\,\ yy">
                  <c:v>44691</c:v>
                </c:pt>
                <c:pt idx="338" formatCode="[$-2B]dd\,\ mmm\,\ yy">
                  <c:v>44692</c:v>
                </c:pt>
                <c:pt idx="339" formatCode="[$-2B]dd\,\ mmm\,\ yy">
                  <c:v>44693</c:v>
                </c:pt>
                <c:pt idx="340" formatCode="[$-2B]dd\,\ mmm\,\ yy">
                  <c:v>44694</c:v>
                </c:pt>
                <c:pt idx="341" formatCode="[$-2B]dd\,\ mmm\,\ yy">
                  <c:v>44697</c:v>
                </c:pt>
                <c:pt idx="342" formatCode="[$-2B]dd\,\ mmm\,\ yy">
                  <c:v>44698</c:v>
                </c:pt>
                <c:pt idx="343" formatCode="[$-2B]dd\,\ mmm\,\ yy">
                  <c:v>44699</c:v>
                </c:pt>
                <c:pt idx="344" formatCode="[$-2B]dd\,\ mmm\,\ yy">
                  <c:v>44700</c:v>
                </c:pt>
                <c:pt idx="345" formatCode="[$-2B]dd\,\ mmm\,\ yy">
                  <c:v>44701</c:v>
                </c:pt>
                <c:pt idx="346" formatCode="[$-2B]dd\,\ mmm\,\ yy">
                  <c:v>44704</c:v>
                </c:pt>
                <c:pt idx="347" formatCode="[$-2B]dd\,\ mmm\,\ yy">
                  <c:v>44705</c:v>
                </c:pt>
                <c:pt idx="348" formatCode="[$-2B]dd\,\ mmm\,\ yy">
                  <c:v>44706</c:v>
                </c:pt>
                <c:pt idx="349" formatCode="[$-2B]dd\,\ mmm\,\ yy">
                  <c:v>44707</c:v>
                </c:pt>
                <c:pt idx="350" formatCode="[$-2B]dd\,\ mmm\,\ yy">
                  <c:v>44708</c:v>
                </c:pt>
                <c:pt idx="351" formatCode="[$-2B]dd\,\ mmm\,\ yy">
                  <c:v>44711</c:v>
                </c:pt>
                <c:pt idx="352" formatCode="[$-2B]dd\,\ mmm\,\ yy">
                  <c:v>44712</c:v>
                </c:pt>
                <c:pt idx="353" formatCode="[$-2B]dd\,\ mmm\,\ yy">
                  <c:v>44713</c:v>
                </c:pt>
                <c:pt idx="354" formatCode="[$-2B]dd\,\ mmm\,\ yy">
                  <c:v>44714</c:v>
                </c:pt>
                <c:pt idx="355" formatCode="[$-2B]dd\,\ mmm\,\ yy">
                  <c:v>44715</c:v>
                </c:pt>
                <c:pt idx="356" formatCode="[$-2B]dd\,\ mmm\,\ yy">
                  <c:v>44718</c:v>
                </c:pt>
                <c:pt idx="357" formatCode="[$-2B]dd\,\ mmm\,\ yy">
                  <c:v>44719</c:v>
                </c:pt>
                <c:pt idx="358" formatCode="[$-2B]dd\,\ mmm\,\ yy">
                  <c:v>44720</c:v>
                </c:pt>
                <c:pt idx="359" formatCode="[$-2B]dd\,\ mmm\,\ yy">
                  <c:v>44721</c:v>
                </c:pt>
                <c:pt idx="360" formatCode="[$-2B]dd\,\ mmm\,\ yy">
                  <c:v>44722</c:v>
                </c:pt>
                <c:pt idx="361" formatCode="[$-2B]dd\,\ mmm\,\ yy">
                  <c:v>44725</c:v>
                </c:pt>
                <c:pt idx="362" formatCode="[$-2B]dd\,\ mmm\,\ yy">
                  <c:v>44726</c:v>
                </c:pt>
                <c:pt idx="363" formatCode="[$-2B]dd\,\ mmm\,\ yy">
                  <c:v>44727</c:v>
                </c:pt>
                <c:pt idx="364" formatCode="[$-2B]dd\,\ mmm\,\ yy">
                  <c:v>44728</c:v>
                </c:pt>
                <c:pt idx="365" formatCode="[$-2B]dd\,\ mmm\,\ yy">
                  <c:v>44729</c:v>
                </c:pt>
                <c:pt idx="366" formatCode="[$-2B]dd\,\ mmm\,\ yy">
                  <c:v>44732</c:v>
                </c:pt>
                <c:pt idx="367" formatCode="[$-2B]dd\,\ mmm\,\ yy">
                  <c:v>44733</c:v>
                </c:pt>
                <c:pt idx="368" formatCode="[$-2B]dd\,\ mmm\,\ yy">
                  <c:v>44734</c:v>
                </c:pt>
                <c:pt idx="369" formatCode="[$-2B]dd\,\ mmm\,\ yy">
                  <c:v>44735</c:v>
                </c:pt>
                <c:pt idx="370" formatCode="[$-2B]dd\,\ mmm\,\ yy">
                  <c:v>44736</c:v>
                </c:pt>
                <c:pt idx="371" formatCode="[$-2B]dd\,\ mmm\,\ yy">
                  <c:v>44739</c:v>
                </c:pt>
                <c:pt idx="372" formatCode="[$-2B]dd\,\ mmm\,\ yy">
                  <c:v>44740</c:v>
                </c:pt>
                <c:pt idx="373" formatCode="[$-2B]dd\,\ mmm\,\ yy">
                  <c:v>44741</c:v>
                </c:pt>
                <c:pt idx="374" formatCode="[$-2B]dd\,\ mmm\,\ yy">
                  <c:v>44742</c:v>
                </c:pt>
                <c:pt idx="375" formatCode="[$-2B]dd\,\ mmm\,\ yy">
                  <c:v>44743</c:v>
                </c:pt>
                <c:pt idx="376" formatCode="[$-2B]dd\,\ mmm\,\ yy">
                  <c:v>44746</c:v>
                </c:pt>
                <c:pt idx="377" formatCode="[$-2B]dd\,\ mmm\,\ yy">
                  <c:v>44748</c:v>
                </c:pt>
                <c:pt idx="378" formatCode="[$-2B]dd\,\ mmm\,\ yy">
                  <c:v>44749</c:v>
                </c:pt>
                <c:pt idx="379" formatCode="[$-2B]dd\,\ mmm\,\ yy">
                  <c:v>44750</c:v>
                </c:pt>
                <c:pt idx="380" formatCode="[$-2B]dd\,\ mmm\,\ yy">
                  <c:v>44753</c:v>
                </c:pt>
                <c:pt idx="381" formatCode="[$-2B]dd\,\ mmm\,\ yy">
                  <c:v>44754</c:v>
                </c:pt>
                <c:pt idx="382" formatCode="[$-2B]dd\,\ mmm\,\ yy">
                  <c:v>44755</c:v>
                </c:pt>
                <c:pt idx="383" formatCode="[$-2B]dd\,\ mmm\,\ yy">
                  <c:v>44756</c:v>
                </c:pt>
                <c:pt idx="384" formatCode="[$-2B]dd\,\ mmm\,\ yy">
                  <c:v>44757</c:v>
                </c:pt>
                <c:pt idx="385" formatCode="[$-2B]dd\,\ mmm\,\ yy">
                  <c:v>44760</c:v>
                </c:pt>
                <c:pt idx="386" formatCode="[$-2B]dd\,\ mmm\,\ yy">
                  <c:v>44761</c:v>
                </c:pt>
                <c:pt idx="387" formatCode="[$-2B]dd\,\ mmm\,\ yy">
                  <c:v>44762</c:v>
                </c:pt>
                <c:pt idx="388" formatCode="[$-2B]dd\,\ mmm\,\ yy">
                  <c:v>44763</c:v>
                </c:pt>
                <c:pt idx="389" formatCode="[$-2B]dd\,\ mmm\,\ yy">
                  <c:v>44764</c:v>
                </c:pt>
                <c:pt idx="390" formatCode="[$-2B]dd\,\ mmm\,\ yy">
                  <c:v>44767</c:v>
                </c:pt>
                <c:pt idx="391" formatCode="[$-2B]dd\,\ mmm\,\ yy">
                  <c:v>44768</c:v>
                </c:pt>
                <c:pt idx="392" formatCode="[$-2B]dd\,\ mmm\,\ yy">
                  <c:v>44769</c:v>
                </c:pt>
                <c:pt idx="393" formatCode="[$-2B]dd\,\ mmm\,\ yy">
                  <c:v>44770</c:v>
                </c:pt>
                <c:pt idx="394" formatCode="[$-2B]dd\,\ mmm\,\ yy">
                  <c:v>44771</c:v>
                </c:pt>
                <c:pt idx="395" formatCode="[$-2B]dd\,\ mmm\,\ yy">
                  <c:v>44774</c:v>
                </c:pt>
                <c:pt idx="396" formatCode="[$-2B]dd\,\ mmm\,\ yy">
                  <c:v>44775</c:v>
                </c:pt>
                <c:pt idx="397" formatCode="[$-2B]dd\,\ mmm\,\ yy">
                  <c:v>44776</c:v>
                </c:pt>
                <c:pt idx="398" formatCode="[$-2B]dd\,\ mmm\,\ yy">
                  <c:v>44777</c:v>
                </c:pt>
                <c:pt idx="399" formatCode="[$-2B]dd\,\ mmm\,\ yy">
                  <c:v>44778</c:v>
                </c:pt>
                <c:pt idx="400" formatCode="[$-2B]dd\,\ mmm\,\ yy">
                  <c:v>44781</c:v>
                </c:pt>
                <c:pt idx="401" formatCode="[$-2B]dd\,\ mmm\,\ yy">
                  <c:v>44782</c:v>
                </c:pt>
                <c:pt idx="402" formatCode="[$-2B]dd\,\ mmm\,\ yy">
                  <c:v>44783</c:v>
                </c:pt>
                <c:pt idx="403" formatCode="[$-2B]dd\,\ mmm\,\ yy">
                  <c:v>44784</c:v>
                </c:pt>
                <c:pt idx="404" formatCode="[$-2B]dd\,\ mmm\,\ yy">
                  <c:v>44785</c:v>
                </c:pt>
                <c:pt idx="405" formatCode="[$-2B]dd\,\ mmm\,\ yy">
                  <c:v>44788</c:v>
                </c:pt>
                <c:pt idx="406" formatCode="[$-2B]dd\,\ mmm\,\ yy">
                  <c:v>44789</c:v>
                </c:pt>
                <c:pt idx="407" formatCode="[$-2B]dd\,\ mmm\,\ yy">
                  <c:v>44790</c:v>
                </c:pt>
                <c:pt idx="408" formatCode="[$-2B]dd\,\ mmm\,\ yy">
                  <c:v>44791</c:v>
                </c:pt>
                <c:pt idx="409" formatCode="[$-2B]dd\,\ mmm\,\ yy">
                  <c:v>44792</c:v>
                </c:pt>
                <c:pt idx="410" formatCode="[$-2B]dd\,\ mmm\,\ yy">
                  <c:v>44795</c:v>
                </c:pt>
                <c:pt idx="411" formatCode="[$-2B]dd\,\ mmm\,\ yy">
                  <c:v>44796</c:v>
                </c:pt>
                <c:pt idx="412" formatCode="[$-2B]dd\,\ mmm\,\ yy">
                  <c:v>44797</c:v>
                </c:pt>
                <c:pt idx="413" formatCode="[$-2B]dd\,\ mmm\,\ yy">
                  <c:v>44798</c:v>
                </c:pt>
                <c:pt idx="414" formatCode="[$-2B]dd\,\ mmm\,\ yy">
                  <c:v>44799</c:v>
                </c:pt>
                <c:pt idx="415" formatCode="[$-2B]dd\,\ mmm\,\ yy">
                  <c:v>44802</c:v>
                </c:pt>
                <c:pt idx="416" formatCode="[$-2B]dd\,\ mmm\,\ yy">
                  <c:v>44803</c:v>
                </c:pt>
                <c:pt idx="417" formatCode="[$-2B]dd\,\ mmm\,\ yy">
                  <c:v>44804</c:v>
                </c:pt>
                <c:pt idx="418" formatCode="[$-2B]dd\,\ mmm\,\ yy">
                  <c:v>44805</c:v>
                </c:pt>
                <c:pt idx="419" formatCode="[$-2B]dd\,\ mmm\,\ yy">
                  <c:v>44806</c:v>
                </c:pt>
                <c:pt idx="420" formatCode="[$-2B]dd\,\ mmm\,\ yy">
                  <c:v>44809</c:v>
                </c:pt>
                <c:pt idx="421" formatCode="[$-2B]dd\,\ mmm\,\ yy">
                  <c:v>44810</c:v>
                </c:pt>
                <c:pt idx="422" formatCode="[$-2B]dd\,\ mmm\,\ yy">
                  <c:v>44811</c:v>
                </c:pt>
                <c:pt idx="423" formatCode="[$-2B]dd\,\ mmm\,\ yy">
                  <c:v>44812</c:v>
                </c:pt>
                <c:pt idx="424" formatCode="[$-2B]dd\,\ mmm\,\ yy">
                  <c:v>44813</c:v>
                </c:pt>
                <c:pt idx="425" formatCode="[$-2B]dd\,\ mmm\,\ yy">
                  <c:v>44816</c:v>
                </c:pt>
                <c:pt idx="426" formatCode="[$-2B]dd\,\ mmm\,\ yy">
                  <c:v>44817</c:v>
                </c:pt>
                <c:pt idx="427" formatCode="[$-2B]dd\,\ mmm\,\ yy">
                  <c:v>44818</c:v>
                </c:pt>
                <c:pt idx="428" formatCode="[$-2B]dd\,\ mmm\,\ yy">
                  <c:v>44819</c:v>
                </c:pt>
                <c:pt idx="429" formatCode="[$-2B]dd\,\ mmm\,\ yy">
                  <c:v>44820</c:v>
                </c:pt>
                <c:pt idx="430" formatCode="[$-2B]dd\,\ mmm\,\ yy">
                  <c:v>44823</c:v>
                </c:pt>
                <c:pt idx="431" formatCode="[$-2B]dd\,\ mmm\,\ yy">
                  <c:v>44824</c:v>
                </c:pt>
                <c:pt idx="432" formatCode="[$-2B]dd\,\ mmm\,\ yy">
                  <c:v>44826</c:v>
                </c:pt>
                <c:pt idx="433" formatCode="[$-2B]dd\,\ mmm\,\ yy">
                  <c:v>44827</c:v>
                </c:pt>
                <c:pt idx="434" formatCode="[$-2B]dd\,\ mmm\,\ yy">
                  <c:v>44830</c:v>
                </c:pt>
                <c:pt idx="435" formatCode="[$-2B]dd\,\ mmm\,\ yy">
                  <c:v>44831</c:v>
                </c:pt>
                <c:pt idx="436" formatCode="[$-2B]dd\,\ mmm\,\ yy">
                  <c:v>44832</c:v>
                </c:pt>
                <c:pt idx="437" formatCode="[$-2B]dd\,\ mmm\,\ yy">
                  <c:v>44833</c:v>
                </c:pt>
                <c:pt idx="438" formatCode="[$-2B]dd\,\ mmm\,\ yy">
                  <c:v>44834</c:v>
                </c:pt>
              </c:numCache>
            </c:numRef>
          </c:cat>
          <c:val>
            <c:numRef>
              <c:f>Sheet1!$D$2:$D$441</c:f>
              <c:numCache>
                <c:formatCode>_(* #,##0_);_(* \(#,##0\);_(* "-"??_);_(@_)</c:formatCode>
                <c:ptCount val="440"/>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pt idx="311">
                  <c:v>120.82616179001708</c:v>
                </c:pt>
                <c:pt idx="312">
                  <c:v>120.82616179001708</c:v>
                </c:pt>
                <c:pt idx="313">
                  <c:v>121.24352331606204</c:v>
                </c:pt>
                <c:pt idx="314">
                  <c:v>119.99999999999987</c:v>
                </c:pt>
                <c:pt idx="315">
                  <c:v>112.14057507987208</c:v>
                </c:pt>
                <c:pt idx="316">
                  <c:v>110.20408163265294</c:v>
                </c:pt>
                <c:pt idx="317">
                  <c:v>115.84158415841573</c:v>
                </c:pt>
                <c:pt idx="318">
                  <c:v>117.78523489932874</c:v>
                </c:pt>
                <c:pt idx="319">
                  <c:v>118.78172588832476</c:v>
                </c:pt>
                <c:pt idx="320">
                  <c:v>121.24352331606207</c:v>
                </c:pt>
                <c:pt idx="321">
                  <c:v>119.18505942275033</c:v>
                </c:pt>
                <c:pt idx="322">
                  <c:v>117.58793969849236</c:v>
                </c:pt>
                <c:pt idx="323">
                  <c:v>117.78523489932876</c:v>
                </c:pt>
                <c:pt idx="324">
                  <c:v>115.65074135090599</c:v>
                </c:pt>
                <c:pt idx="325">
                  <c:v>111.42857142857133</c:v>
                </c:pt>
                <c:pt idx="326">
                  <c:v>109.68749999999989</c:v>
                </c:pt>
                <c:pt idx="327">
                  <c:v>110.03134796238234</c:v>
                </c:pt>
                <c:pt idx="328">
                  <c:v>109.85915492957737</c:v>
                </c:pt>
                <c:pt idx="329">
                  <c:v>111.0759493670885</c:v>
                </c:pt>
                <c:pt idx="330">
                  <c:v>111.0759493670885</c:v>
                </c:pt>
                <c:pt idx="331">
                  <c:v>109.6874999999999</c:v>
                </c:pt>
                <c:pt idx="332">
                  <c:v>110.7255520504731</c:v>
                </c:pt>
                <c:pt idx="333">
                  <c:v>107.8341013824884</c:v>
                </c:pt>
                <c:pt idx="334">
                  <c:v>106.20272314674727</c:v>
                </c:pt>
                <c:pt idx="335">
                  <c:v>99.999999999999943</c:v>
                </c:pt>
                <c:pt idx="336">
                  <c:v>99.152542372881285</c:v>
                </c:pt>
                <c:pt idx="337">
                  <c:v>103.08370044052857</c:v>
                </c:pt>
                <c:pt idx="338">
                  <c:v>102.33236151603491</c:v>
                </c:pt>
                <c:pt idx="339">
                  <c:v>99.999999999999943</c:v>
                </c:pt>
                <c:pt idx="340">
                  <c:v>99.29278642149923</c:v>
                </c:pt>
                <c:pt idx="341">
                  <c:v>97.364771151178857</c:v>
                </c:pt>
                <c:pt idx="342">
                  <c:v>97.771587743732525</c:v>
                </c:pt>
                <c:pt idx="343">
                  <c:v>97.229916897506854</c:v>
                </c:pt>
                <c:pt idx="344">
                  <c:v>94.864864864864785</c:v>
                </c:pt>
                <c:pt idx="345">
                  <c:v>89.884763124199679</c:v>
                </c:pt>
                <c:pt idx="346">
                  <c:v>88.973384030418188</c:v>
                </c:pt>
                <c:pt idx="347">
                  <c:v>87.531172069825374</c:v>
                </c:pt>
                <c:pt idx="348">
                  <c:v>87.313432835820834</c:v>
                </c:pt>
                <c:pt idx="349">
                  <c:v>99.715909090909008</c:v>
                </c:pt>
                <c:pt idx="350">
                  <c:v>102.78184480234252</c:v>
                </c:pt>
                <c:pt idx="351">
                  <c:v>95.640326975476768</c:v>
                </c:pt>
                <c:pt idx="352">
                  <c:v>95.770804911323268</c:v>
                </c:pt>
                <c:pt idx="353">
                  <c:v>96.561210453920154</c:v>
                </c:pt>
                <c:pt idx="354">
                  <c:v>97.635605006954023</c:v>
                </c:pt>
                <c:pt idx="355">
                  <c:v>98.319327731092372</c:v>
                </c:pt>
                <c:pt idx="356">
                  <c:v>97.635605006954037</c:v>
                </c:pt>
                <c:pt idx="357">
                  <c:v>98.734177215189803</c:v>
                </c:pt>
                <c:pt idx="358">
                  <c:v>97.907949790794916</c:v>
                </c:pt>
                <c:pt idx="359">
                  <c:v>94.864864864864799</c:v>
                </c:pt>
                <c:pt idx="360">
                  <c:v>94.993234100135254</c:v>
                </c:pt>
                <c:pt idx="361">
                  <c:v>95.251017639077276</c:v>
                </c:pt>
                <c:pt idx="362">
                  <c:v>94.993234100135254</c:v>
                </c:pt>
                <c:pt idx="363">
                  <c:v>93.72496662216281</c:v>
                </c:pt>
                <c:pt idx="364">
                  <c:v>92.85714285714279</c:v>
                </c:pt>
                <c:pt idx="365">
                  <c:v>93.227091633466074</c:v>
                </c:pt>
                <c:pt idx="366">
                  <c:v>93.4753661784287</c:v>
                </c:pt>
                <c:pt idx="367">
                  <c:v>91.764705882352871</c:v>
                </c:pt>
                <c:pt idx="368">
                  <c:v>90.463917525773127</c:v>
                </c:pt>
                <c:pt idx="369">
                  <c:v>90.697674418604564</c:v>
                </c:pt>
                <c:pt idx="370">
                  <c:v>91.525423728813479</c:v>
                </c:pt>
                <c:pt idx="371">
                  <c:v>91.287386215864672</c:v>
                </c:pt>
                <c:pt idx="372">
                  <c:v>90.93264248704655</c:v>
                </c:pt>
                <c:pt idx="373">
                  <c:v>89.655172413793011</c:v>
                </c:pt>
                <c:pt idx="374">
                  <c:v>90.580645161290221</c:v>
                </c:pt>
                <c:pt idx="375">
                  <c:v>94.101876675603108</c:v>
                </c:pt>
                <c:pt idx="376">
                  <c:v>94.736842105263051</c:v>
                </c:pt>
                <c:pt idx="377">
                  <c:v>106.20272314674725</c:v>
                </c:pt>
                <c:pt idx="378">
                  <c:v>107.9999999999999</c:v>
                </c:pt>
                <c:pt idx="379">
                  <c:v>104.46428571428562</c:v>
                </c:pt>
                <c:pt idx="380">
                  <c:v>104.93273542600888</c:v>
                </c:pt>
                <c:pt idx="381">
                  <c:v>99.999999999999929</c:v>
                </c:pt>
                <c:pt idx="382">
                  <c:v>99.433427762039585</c:v>
                </c:pt>
                <c:pt idx="383">
                  <c:v>99.292786421499216</c:v>
                </c:pt>
                <c:pt idx="384">
                  <c:v>96.827586206896484</c:v>
                </c:pt>
                <c:pt idx="385">
                  <c:v>95.251017639077276</c:v>
                </c:pt>
                <c:pt idx="386">
                  <c:v>93.227091633466074</c:v>
                </c:pt>
                <c:pt idx="387">
                  <c:v>92.98013245033107</c:v>
                </c:pt>
                <c:pt idx="388">
                  <c:v>96.961325966850779</c:v>
                </c:pt>
                <c:pt idx="389">
                  <c:v>97.90794979079493</c:v>
                </c:pt>
                <c:pt idx="390">
                  <c:v>99.012693935119842</c:v>
                </c:pt>
                <c:pt idx="391">
                  <c:v>100.57306590257873</c:v>
                </c:pt>
                <c:pt idx="392">
                  <c:v>103.38733431516931</c:v>
                </c:pt>
                <c:pt idx="393">
                  <c:v>104.46428571428567</c:v>
                </c:pt>
                <c:pt idx="394">
                  <c:v>105.88235294117642</c:v>
                </c:pt>
                <c:pt idx="395">
                  <c:v>106.52503793626703</c:v>
                </c:pt>
                <c:pt idx="396">
                  <c:v>104.1543026706231</c:v>
                </c:pt>
                <c:pt idx="397">
                  <c:v>104.1543026706231</c:v>
                </c:pt>
                <c:pt idx="398">
                  <c:v>104.3090638930163</c:v>
                </c:pt>
                <c:pt idx="399">
                  <c:v>104.61997019374066</c:v>
                </c:pt>
                <c:pt idx="400">
                  <c:v>104.3090638930163</c:v>
                </c:pt>
                <c:pt idx="401">
                  <c:v>104.46428571428568</c:v>
                </c:pt>
                <c:pt idx="402">
                  <c:v>104.61997019374064</c:v>
                </c:pt>
                <c:pt idx="403">
                  <c:v>104.77611940298503</c:v>
                </c:pt>
                <c:pt idx="404">
                  <c:v>105.40540540540538</c:v>
                </c:pt>
                <c:pt idx="405">
                  <c:v>106.36363636363635</c:v>
                </c:pt>
                <c:pt idx="406">
                  <c:v>106.04229607250753</c:v>
                </c:pt>
                <c:pt idx="407">
                  <c:v>104.77611940298505</c:v>
                </c:pt>
                <c:pt idx="408">
                  <c:v>102.78184480234258</c:v>
                </c:pt>
                <c:pt idx="409">
                  <c:v>102.18340611353709</c:v>
                </c:pt>
                <c:pt idx="410">
                  <c:v>103.08370044052862</c:v>
                </c:pt>
                <c:pt idx="411">
                  <c:v>103.84615384615381</c:v>
                </c:pt>
                <c:pt idx="412">
                  <c:v>103.99999999999996</c:v>
                </c:pt>
                <c:pt idx="413">
                  <c:v>103.53982300884951</c:v>
                </c:pt>
                <c:pt idx="414">
                  <c:v>104.1543026706231</c:v>
                </c:pt>
                <c:pt idx="415">
                  <c:v>104.46428571428567</c:v>
                </c:pt>
                <c:pt idx="416">
                  <c:v>104.93273542600892</c:v>
                </c:pt>
                <c:pt idx="417">
                  <c:v>104.61997019374064</c:v>
                </c:pt>
                <c:pt idx="418">
                  <c:v>104.46428571428567</c:v>
                </c:pt>
                <c:pt idx="419">
                  <c:v>104.77611940298502</c:v>
                </c:pt>
                <c:pt idx="420">
                  <c:v>105.24737631184402</c:v>
                </c:pt>
                <c:pt idx="421">
                  <c:v>105.56390977443603</c:v>
                </c:pt>
                <c:pt idx="422">
                  <c:v>105.88235294117641</c:v>
                </c:pt>
                <c:pt idx="423">
                  <c:v>105.24737631184401</c:v>
                </c:pt>
                <c:pt idx="424">
                  <c:v>104.46428571428565</c:v>
                </c:pt>
                <c:pt idx="425">
                  <c:v>104.46428571428565</c:v>
                </c:pt>
                <c:pt idx="426">
                  <c:v>103.69276218611516</c:v>
                </c:pt>
                <c:pt idx="427">
                  <c:v>103.08370044052857</c:v>
                </c:pt>
                <c:pt idx="428">
                  <c:v>101.88679245283012</c:v>
                </c:pt>
                <c:pt idx="429">
                  <c:v>101.29870129870123</c:v>
                </c:pt>
                <c:pt idx="430">
                  <c:v>100.86206896551718</c:v>
                </c:pt>
                <c:pt idx="431">
                  <c:v>100.71736011477756</c:v>
                </c:pt>
                <c:pt idx="432">
                  <c:v>99.999999999999957</c:v>
                </c:pt>
                <c:pt idx="433">
                  <c:v>96.827586206896498</c:v>
                </c:pt>
                <c:pt idx="434">
                  <c:v>98.319327731092372</c:v>
                </c:pt>
                <c:pt idx="435">
                  <c:v>99.574468085106304</c:v>
                </c:pt>
                <c:pt idx="436">
                  <c:v>100.42918454935614</c:v>
                </c:pt>
                <c:pt idx="437">
                  <c:v>98.595505617977452</c:v>
                </c:pt>
                <c:pt idx="438">
                  <c:v>92.734478203434534</c:v>
                </c:pt>
              </c:numCache>
            </c:numRef>
          </c:val>
          <c:smooth val="0"/>
          <c:extLst>
            <c:ext xmlns:c16="http://schemas.microsoft.com/office/drawing/2014/chart" uri="{C3380CC4-5D6E-409C-BE32-E72D297353CC}">
              <c16:uniqueId val="{00000002-823B-45F3-B65B-7D313BED2880}"/>
            </c:ext>
          </c:extLst>
        </c:ser>
        <c:dLbls>
          <c:showLegendKey val="0"/>
          <c:showVal val="0"/>
          <c:showCatName val="0"/>
          <c:showSerName val="0"/>
          <c:showPercent val="0"/>
          <c:showBubbleSize val="0"/>
        </c:dLbls>
        <c:smooth val="0"/>
        <c:axId val="340948480"/>
        <c:axId val="340950016"/>
      </c:lineChart>
      <c:dateAx>
        <c:axId val="340948480"/>
        <c:scaling>
          <c:orientation val="minMax"/>
        </c:scaling>
        <c:delete val="0"/>
        <c:axPos val="b"/>
        <c:numFmt formatCode="[$-2B]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0950016"/>
        <c:crosses val="autoZero"/>
        <c:auto val="1"/>
        <c:lblOffset val="100"/>
        <c:baseTimeUnit val="days"/>
      </c:dateAx>
      <c:valAx>
        <c:axId val="340950016"/>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2021 </a:t>
                </a:r>
                <a:r>
                  <a:rPr lang="hy-AM" sz="700" b="0" i="0" u="none" strike="noStrike" kern="1200" baseline="0">
                    <a:solidFill>
                      <a:sysClr val="windowText" lastClr="000000">
                        <a:lumMod val="65000"/>
                        <a:lumOff val="35000"/>
                      </a:sysClr>
                    </a:solidFill>
                    <a:latin typeface="+mn-lt"/>
                    <a:ea typeface="+mn-ea"/>
                    <a:cs typeface="+mn-cs"/>
                  </a:rPr>
                  <a:t>թվական</a:t>
                </a:r>
                <a:r>
                  <a:rPr lang="hy-AM" sz="700"/>
                  <a:t> </a:t>
                </a:r>
                <a:r>
                  <a:rPr lang="en-US" sz="700"/>
                  <a:t>հունվար 8=100</a:t>
                </a:r>
              </a:p>
              <a:p>
                <a:pPr>
                  <a:defRPr sz="700" b="0" i="0" u="none" strike="noStrike" kern="1200" baseline="0">
                    <a:solidFill>
                      <a:schemeClr val="tx1">
                        <a:lumMod val="65000"/>
                        <a:lumOff val="35000"/>
                      </a:schemeClr>
                    </a:solidFill>
                    <a:latin typeface="+mn-lt"/>
                    <a:ea typeface="+mn-ea"/>
                    <a:cs typeface="+mn-cs"/>
                  </a:defRPr>
                </a:pPr>
                <a:endParaRPr lang="en-US" sz="7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48480"/>
        <c:crossesAt val="43838"/>
        <c:crossBetween val="between"/>
      </c:valAx>
      <c:spPr>
        <a:solidFill>
          <a:sysClr val="window" lastClr="FFFFFF"/>
        </a:solidFill>
        <a:ln>
          <a:noFill/>
        </a:ln>
        <a:effectLst/>
      </c:spPr>
    </c:plotArea>
    <c:legend>
      <c:legendPos val="b"/>
      <c:layout>
        <c:manualLayout>
          <c:xMode val="edge"/>
          <c:yMode val="edge"/>
          <c:x val="0.27577937649880097"/>
          <c:y val="0.90084840185490644"/>
          <c:w val="0.54170395966691209"/>
          <c:h val="8.2568236282717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Sheet1!$A$2:$A$70</c:f>
              <c:strCache>
                <c:ptCount val="33"/>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pt idx="30">
                  <c:v>22-M7</c:v>
                </c:pt>
                <c:pt idx="31">
                  <c:v>22-M8</c:v>
                </c:pt>
                <c:pt idx="32">
                  <c:v>22-M9</c:v>
                </c:pt>
              </c:strCache>
            </c:strRef>
          </c:cat>
          <c:val>
            <c:numRef>
              <c:f>Sheet1!$B$2:$B$70</c:f>
              <c:numCache>
                <c:formatCode>0.0</c:formatCode>
                <c:ptCount val="33"/>
                <c:pt idx="0">
                  <c:v>-2.6246542068686409</c:v>
                </c:pt>
                <c:pt idx="1">
                  <c:v>-1.4553084915558543</c:v>
                </c:pt>
                <c:pt idx="2">
                  <c:v>-0.39762329711045652</c:v>
                </c:pt>
                <c:pt idx="3">
                  <c:v>0.76205314050565676</c:v>
                </c:pt>
                <c:pt idx="4">
                  <c:v>1.2758480875794191</c:v>
                </c:pt>
                <c:pt idx="5">
                  <c:v>1.5440919000124325</c:v>
                </c:pt>
                <c:pt idx="6">
                  <c:v>1.8000739889795625</c:v>
                </c:pt>
                <c:pt idx="7">
                  <c:v>1.872659176029984</c:v>
                </c:pt>
                <c:pt idx="8">
                  <c:v>2.0262389559304808</c:v>
                </c:pt>
                <c:pt idx="9">
                  <c:v>2.188254555710742</c:v>
                </c:pt>
                <c:pt idx="10">
                  <c:v>2.1130775254503078</c:v>
                </c:pt>
                <c:pt idx="11">
                  <c:v>1.7208775670906959</c:v>
                </c:pt>
                <c:pt idx="12">
                  <c:v>-2.9309866962305904</c:v>
                </c:pt>
                <c:pt idx="13">
                  <c:v>-3.9358450389806308</c:v>
                </c:pt>
                <c:pt idx="14">
                  <c:v>-4.6884569147367472</c:v>
                </c:pt>
                <c:pt idx="15">
                  <c:v>-5.3713382968353329</c:v>
                </c:pt>
                <c:pt idx="16">
                  <c:v>-6.1200523127018585</c:v>
                </c:pt>
                <c:pt idx="17">
                  <c:v>-6.0824489977530192</c:v>
                </c:pt>
                <c:pt idx="18">
                  <c:v>-5.1402450103761339</c:v>
                </c:pt>
                <c:pt idx="19">
                  <c:v>-4.3538477034649503</c:v>
                </c:pt>
                <c:pt idx="20">
                  <c:v>-3.8404925394323044</c:v>
                </c:pt>
                <c:pt idx="21">
                  <c:v>-3.2467619893906345</c:v>
                </c:pt>
                <c:pt idx="22">
                  <c:v>-2.324568399612275</c:v>
                </c:pt>
                <c:pt idx="23">
                  <c:v>-1.1645712671281387</c:v>
                </c:pt>
                <c:pt idx="24">
                  <c:v>13.562709686630029</c:v>
                </c:pt>
                <c:pt idx="25">
                  <c:v>13.331664938686473</c:v>
                </c:pt>
                <c:pt idx="26">
                  <c:v>14.167063303188954</c:v>
                </c:pt>
                <c:pt idx="27">
                  <c:v>14.476511855075032</c:v>
                </c:pt>
                <c:pt idx="28">
                  <c:v>15.174560755103201</c:v>
                </c:pt>
                <c:pt idx="29">
                  <c:v>16.609025227999524</c:v>
                </c:pt>
                <c:pt idx="30">
                  <c:v>17.417735301233989</c:v>
                </c:pt>
                <c:pt idx="31">
                  <c:v>18.511790362355086</c:v>
                </c:pt>
                <c:pt idx="32">
                  <c:v>19.501620084384257</c:v>
                </c:pt>
              </c:numCache>
            </c:numRef>
          </c:val>
          <c:smooth val="0"/>
          <c:extLst>
            <c:ext xmlns:c16="http://schemas.microsoft.com/office/drawing/2014/chart" uri="{C3380CC4-5D6E-409C-BE32-E72D297353CC}">
              <c16:uniqueId val="{00000000-012C-4B6F-B315-0A71C689835E}"/>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Sheet1!$A$2:$A$70</c:f>
              <c:strCache>
                <c:ptCount val="33"/>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pt idx="30">
                  <c:v>22-M7</c:v>
                </c:pt>
                <c:pt idx="31">
                  <c:v>22-M8</c:v>
                </c:pt>
                <c:pt idx="32">
                  <c:v>22-M9</c:v>
                </c:pt>
              </c:strCache>
            </c:strRef>
          </c:cat>
          <c:val>
            <c:numRef>
              <c:f>Sheet1!$C$2:$C$70</c:f>
              <c:numCache>
                <c:formatCode>0.0</c:formatCode>
                <c:ptCount val="33"/>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-5.280059384530972</c:v>
                </c:pt>
                <c:pt idx="16">
                  <c:v>-5.9339955142582568</c:v>
                </c:pt>
                <c:pt idx="17">
                  <c:v>-5.8889332800639238</c:v>
                </c:pt>
                <c:pt idx="18">
                  <c:v>-5.1113975830072604</c:v>
                </c:pt>
                <c:pt idx="19">
                  <c:v>-4.4923561884823329</c:v>
                </c:pt>
                <c:pt idx="20">
                  <c:v>-4.0853841404251483</c:v>
                </c:pt>
                <c:pt idx="21">
                  <c:v>-3.5536226742602253</c:v>
                </c:pt>
                <c:pt idx="22">
                  <c:v>-2.677789556159837</c:v>
                </c:pt>
                <c:pt idx="23">
                  <c:v>-1.3669868689630249</c:v>
                </c:pt>
                <c:pt idx="24">
                  <c:v>16.532202926295653</c:v>
                </c:pt>
                <c:pt idx="25">
                  <c:v>16.946483886977788</c:v>
                </c:pt>
                <c:pt idx="26">
                  <c:v>18.682483249008627</c:v>
                </c:pt>
                <c:pt idx="27">
                  <c:v>19.429442731315063</c:v>
                </c:pt>
                <c:pt idx="28">
                  <c:v>20.414197152394564</c:v>
                </c:pt>
                <c:pt idx="29">
                  <c:v>22.064300673572191</c:v>
                </c:pt>
                <c:pt idx="30">
                  <c:v>23.196900743130371</c:v>
                </c:pt>
                <c:pt idx="31">
                  <c:v>24.588476508780573</c:v>
                </c:pt>
                <c:pt idx="32">
                  <c:v>25.678877011249028</c:v>
                </c:pt>
              </c:numCache>
            </c:numRef>
          </c:val>
          <c:smooth val="0"/>
          <c:extLst>
            <c:ext xmlns:c16="http://schemas.microsoft.com/office/drawing/2014/chart" uri="{C3380CC4-5D6E-409C-BE32-E72D297353CC}">
              <c16:uniqueId val="{00000001-012C-4B6F-B315-0A71C689835E}"/>
            </c:ext>
          </c:extLst>
        </c:ser>
        <c:dLbls>
          <c:showLegendKey val="0"/>
          <c:showVal val="0"/>
          <c:showCatName val="0"/>
          <c:showSerName val="0"/>
          <c:showPercent val="0"/>
          <c:showBubbleSize val="0"/>
        </c:dLbls>
        <c:smooth val="0"/>
        <c:axId val="340690432"/>
        <c:axId val="340691968"/>
      </c:lineChart>
      <c:catAx>
        <c:axId val="340690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0691968"/>
        <c:crosses val="autoZero"/>
        <c:auto val="1"/>
        <c:lblAlgn val="ctr"/>
        <c:lblOffset val="100"/>
        <c:noMultiLvlLbl val="0"/>
      </c:catAx>
      <c:valAx>
        <c:axId val="34069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kern="1200" baseline="0">
                    <a:solidFill>
                      <a:sysClr val="windowText" lastClr="000000">
                        <a:lumMod val="65000"/>
                        <a:lumOff val="35000"/>
                      </a:sysClr>
                    </a:solidFill>
                    <a:latin typeface="+mn-lt"/>
                    <a:ea typeface="+mn-ea"/>
                    <a:cs typeface="+mn-cs"/>
                  </a:rPr>
                  <a:t>տոկոս</a:t>
                </a:r>
                <a:endParaRPr lang="en-US" sz="700"/>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690432"/>
        <c:crosses val="autoZero"/>
        <c:crossBetween val="between"/>
      </c:valAx>
      <c:spPr>
        <a:solidFill>
          <a:sysClr val="window" lastClr="FFFFFF"/>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endParaRPr lang="en-US"/>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CEDD-41EE-9279-3C9BC8820F3D}"/>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CEDD-41EE-9279-3C9BC8820F3D}"/>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c:ext xmlns:c16="http://schemas.microsoft.com/office/drawing/2014/chart" uri="{C3380CC4-5D6E-409C-BE32-E72D297353CC}">
              <c16:uniqueId val="{00000002-CEDD-41EE-9279-3C9BC8820F3D}"/>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numCache>
            </c:numRef>
          </c:val>
          <c:smooth val="0"/>
          <c:extLst>
            <c:ext xmlns:c16="http://schemas.microsoft.com/office/drawing/2014/chart" uri="{C3380CC4-5D6E-409C-BE32-E72D297353CC}">
              <c16:uniqueId val="{00000003-CEDD-41EE-9279-3C9BC8820F3D}"/>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EDD-41EE-9279-3C9BC8820F3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numCache>
            </c:numRef>
          </c:val>
          <c:smooth val="0"/>
          <c:extLst>
            <c:ext xmlns:c16="http://schemas.microsoft.com/office/drawing/2014/chart" uri="{C3380CC4-5D6E-409C-BE32-E72D297353CC}">
              <c16:uniqueId val="{00000005-CEDD-41EE-9279-3C9BC8820F3D}"/>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crossAx val="341303296"/>
        <c:crosses val="autoZero"/>
        <c:auto val="1"/>
        <c:lblAlgn val="ctr"/>
        <c:lblOffset val="400"/>
        <c:noMultiLvlLbl val="0"/>
      </c:catAx>
      <c:valAx>
        <c:axId val="341303296"/>
        <c:scaling>
          <c:orientation val="minMax"/>
          <c:min val="-10"/>
        </c:scaling>
        <c:delete val="0"/>
        <c:axPos val="l"/>
        <c:majorGridlines>
          <c:spPr>
            <a:ln w="6350"/>
          </c:spPr>
        </c:majorGridlines>
        <c:numFmt formatCode="0.0" sourceLinked="1"/>
        <c:majorTickMark val="out"/>
        <c:minorTickMark val="none"/>
        <c:tickLblPos val="nextTo"/>
        <c:crossAx val="341285120"/>
        <c:crosses val="autoZero"/>
        <c:crossBetween val="between"/>
      </c:valAx>
    </c:plotArea>
    <c:legend>
      <c:legendPos val="r"/>
      <c:layout>
        <c:manualLayout>
          <c:xMode val="edge"/>
          <c:yMode val="edge"/>
          <c:x val="1.6617922759655041E-2"/>
          <c:y val="0.80973701135040244"/>
          <c:w val="0.93498964803312634"/>
          <c:h val="0.1902629886495976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a:t>
            </a:r>
            <a:r>
              <a:rPr lang="en-US"/>
              <a:t>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r>
              <a:rPr lang="en-US"/>
              <a:t>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E6C6-46DD-A445-74D5D6D5ABF2}"/>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E6C6-46DD-A445-74D5D6D5ABF2}"/>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c:ext xmlns:c16="http://schemas.microsoft.com/office/drawing/2014/chart" uri="{C3380CC4-5D6E-409C-BE32-E72D297353CC}">
              <c16:uniqueId val="{00000002-E6C6-46DD-A445-74D5D6D5ABF2}"/>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8.9562056841155506</c:v>
                </c:pt>
                <c:pt idx="7">
                  <c:v>10.539800603497451</c:v>
                </c:pt>
                <c:pt idx="8">
                  <c:v>10.882081559339099</c:v>
                </c:pt>
              </c:numCache>
            </c:numRef>
          </c:val>
          <c:smooth val="0"/>
          <c:extLst>
            <c:ext xmlns:c16="http://schemas.microsoft.com/office/drawing/2014/chart" uri="{C3380CC4-5D6E-409C-BE32-E72D297353CC}">
              <c16:uniqueId val="{00000003-E6C6-46DD-A445-74D5D6D5ABF2}"/>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8"/>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6C6-46DD-A445-74D5D6D5ABF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19.213497406140533</c:v>
                </c:pt>
                <c:pt idx="1">
                  <c:v>16.855497544036211</c:v>
                </c:pt>
                <c:pt idx="2">
                  <c:v>12.871739208127011</c:v>
                </c:pt>
                <c:pt idx="3">
                  <c:v>14.548148890467843</c:v>
                </c:pt>
                <c:pt idx="4">
                  <c:v>15.868355550708685</c:v>
                </c:pt>
                <c:pt idx="5">
                  <c:v>18.566477556089197</c:v>
                </c:pt>
                <c:pt idx="6">
                  <c:v>20.071530949284664</c:v>
                </c:pt>
                <c:pt idx="7">
                  <c:v>19.495111592111101</c:v>
                </c:pt>
                <c:pt idx="8">
                  <c:v>21.9477881339688</c:v>
                </c:pt>
              </c:numCache>
            </c:numRef>
          </c:val>
          <c:smooth val="0"/>
          <c:extLst>
            <c:ext xmlns:c16="http://schemas.microsoft.com/office/drawing/2014/chart" uri="{C3380CC4-5D6E-409C-BE32-E72D297353CC}">
              <c16:uniqueId val="{00000005-E6C6-46DD-A445-74D5D6D5ABF2}"/>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a:pPr>
            <a:endParaRPr lang="en-US"/>
          </a:p>
        </c:txPr>
        <c:crossAx val="340390656"/>
        <c:crosses val="autoZero"/>
        <c:auto val="1"/>
        <c:lblAlgn val="ctr"/>
        <c:lblOffset val="100"/>
        <c:noMultiLvlLbl val="0"/>
      </c:catAx>
      <c:valAx>
        <c:axId val="340390656"/>
        <c:scaling>
          <c:orientation val="minMax"/>
        </c:scaling>
        <c:delete val="0"/>
        <c:axPos val="l"/>
        <c:majorGridlines>
          <c:spPr>
            <a:ln w="6350"/>
          </c:spPr>
        </c:majorGridlines>
        <c:numFmt formatCode="0.0" sourceLinked="1"/>
        <c:majorTickMark val="out"/>
        <c:minorTickMark val="none"/>
        <c:tickLblPos val="nextTo"/>
        <c:crossAx val="340384768"/>
        <c:crosses val="autoZero"/>
        <c:crossBetween val="between"/>
      </c:valAx>
    </c:plotArea>
    <c:legend>
      <c:legendPos val="r"/>
      <c:layout>
        <c:manualLayout>
          <c:xMode val="edge"/>
          <c:yMode val="edge"/>
          <c:x val="5.9308102616205234E-2"/>
          <c:y val="0.78649715297215739"/>
          <c:w val="0.90107526881720434"/>
          <c:h val="0.21350284702784245"/>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16.700000000000003</c:v>
                </c:pt>
                <c:pt idx="1">
                  <c:v>2.9000000000000057</c:v>
                </c:pt>
                <c:pt idx="2">
                  <c:v>-6.4000000000000057</c:v>
                </c:pt>
                <c:pt idx="3">
                  <c:v>1.7000000000000028</c:v>
                </c:pt>
                <c:pt idx="4">
                  <c:v>2.2000000000000028</c:v>
                </c:pt>
                <c:pt idx="5">
                  <c:v>19.099999999999994</c:v>
                </c:pt>
                <c:pt idx="6">
                  <c:v>13.700000000000003</c:v>
                </c:pt>
                <c:pt idx="7">
                  <c:v>23.299999999999997</c:v>
                </c:pt>
                <c:pt idx="8">
                  <c:v>14.799999999999997</c:v>
                </c:pt>
              </c:numCache>
            </c:numRef>
          </c:val>
          <c:extLst>
            <c:ext xmlns:c16="http://schemas.microsoft.com/office/drawing/2014/chart" uri="{C3380CC4-5D6E-409C-BE32-E72D297353CC}">
              <c16:uniqueId val="{00000000-D3D9-40DE-B915-09284C7C9DCB}"/>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3</c:v>
                </c:pt>
                <c:pt idx="1">
                  <c:v>6.2999999999999972</c:v>
                </c:pt>
                <c:pt idx="2">
                  <c:v>8.2000000000000028</c:v>
                </c:pt>
                <c:pt idx="3">
                  <c:v>15.599999999999994</c:v>
                </c:pt>
                <c:pt idx="4">
                  <c:v>18.099999999999994</c:v>
                </c:pt>
                <c:pt idx="5">
                  <c:v>16.700000000000003</c:v>
                </c:pt>
                <c:pt idx="6">
                  <c:v>16.799999999999997</c:v>
                </c:pt>
                <c:pt idx="7">
                  <c:v>16.299999999999997</c:v>
                </c:pt>
                <c:pt idx="8">
                  <c:v>14.599999999999994</c:v>
                </c:pt>
              </c:numCache>
            </c:numRef>
          </c:val>
          <c:extLst>
            <c:ext xmlns:c16="http://schemas.microsoft.com/office/drawing/2014/chart" uri="{C3380CC4-5D6E-409C-BE32-E72D297353CC}">
              <c16:uniqueId val="{00000001-D3D9-40DE-B915-09284C7C9DCB}"/>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21.200000000000003</c:v>
                </c:pt>
                <c:pt idx="1">
                  <c:v>19</c:v>
                </c:pt>
                <c:pt idx="2">
                  <c:v>25.900000000000006</c:v>
                </c:pt>
                <c:pt idx="3">
                  <c:v>27.099999999999994</c:v>
                </c:pt>
                <c:pt idx="4">
                  <c:v>30.199999999999989</c:v>
                </c:pt>
                <c:pt idx="5">
                  <c:v>35.5</c:v>
                </c:pt>
                <c:pt idx="6">
                  <c:v>30.599999999999994</c:v>
                </c:pt>
                <c:pt idx="7">
                  <c:v>25.200000000000003</c:v>
                </c:pt>
                <c:pt idx="8">
                  <c:v>26.299999999999997</c:v>
                </c:pt>
              </c:numCache>
            </c:numRef>
          </c:val>
          <c:extLst>
            <c:ext xmlns:c16="http://schemas.microsoft.com/office/drawing/2014/chart" uri="{C3380CC4-5D6E-409C-BE32-E72D297353CC}">
              <c16:uniqueId val="{00000002-D3D9-40DE-B915-09284C7C9DCB}"/>
            </c:ext>
          </c:extLst>
        </c:ser>
        <c:ser>
          <c:idx val="4"/>
          <c:order val="4"/>
          <c:tx>
            <c:strRef>
              <c:f>Sheet1!$A$6</c:f>
              <c:strCache>
                <c:ptCount val="1"/>
                <c:pt idx="0">
                  <c:v>առևտուր</c:v>
                </c:pt>
              </c:strCache>
            </c:strRef>
          </c:tx>
          <c:spPr>
            <a:solidFill>
              <a:srgbClr val="F79646">
                <a:lumMod val="75000"/>
              </a:srgbClr>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11.5</c:v>
                </c:pt>
                <c:pt idx="1">
                  <c:v>5.2999999999999972</c:v>
                </c:pt>
                <c:pt idx="2">
                  <c:v>6.5999999999999943</c:v>
                </c:pt>
                <c:pt idx="3">
                  <c:v>8.5999999999999943</c:v>
                </c:pt>
                <c:pt idx="4">
                  <c:v>12.400000000000006</c:v>
                </c:pt>
                <c:pt idx="5">
                  <c:v>18.200000000000003</c:v>
                </c:pt>
                <c:pt idx="6">
                  <c:v>21.299999999999997</c:v>
                </c:pt>
                <c:pt idx="7">
                  <c:v>20</c:v>
                </c:pt>
                <c:pt idx="8">
                  <c:v>20.700000000000003</c:v>
                </c:pt>
              </c:numCache>
            </c:numRef>
          </c:val>
          <c:extLst>
            <c:ext xmlns:c16="http://schemas.microsoft.com/office/drawing/2014/chart" uri="{C3380CC4-5D6E-409C-BE32-E72D297353CC}">
              <c16:uniqueId val="{00000003-D3D9-40DE-B915-09284C7C9DCB}"/>
            </c:ext>
          </c:extLst>
        </c:ser>
        <c:dLbls>
          <c:showLegendKey val="0"/>
          <c:showVal val="0"/>
          <c:showCatName val="0"/>
          <c:showSerName val="0"/>
          <c:showPercent val="0"/>
          <c:showBubbleSize val="0"/>
        </c:dLbls>
        <c:gapWidth val="219"/>
        <c:overlap val="-27"/>
        <c:axId val="339051648"/>
        <c:axId val="33905318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81E-2"/>
                  <c:y val="3.89839283788156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3D9-40DE-B915-09284C7C9DCB}"/>
                </c:ext>
              </c:extLst>
            </c:dLbl>
            <c:dLbl>
              <c:idx val="1"/>
              <c:layout>
                <c:manualLayout>
                  <c:x val="-9.1378639683913798E-2"/>
                  <c:y val="3.2134613310322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3D9-40DE-B915-09284C7C9DCB}"/>
                </c:ext>
              </c:extLst>
            </c:dLbl>
            <c:dLbl>
              <c:idx val="2"/>
              <c:layout>
                <c:manualLayout>
                  <c:x val="-9.9627734676953489E-2"/>
                  <c:y val="-6.638118865278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3D9-40DE-B915-09284C7C9DCB}"/>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3D9-40DE-B915-09284C7C9DCB}"/>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D3D9-40DE-B915-09284C7C9DCB}"/>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3D9-40DE-B915-09284C7C9DCB}"/>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3D9-40DE-B915-09284C7C9DCB}"/>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3D9-40DE-B915-09284C7C9DCB}"/>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3D9-40DE-B915-09284C7C9DCB}"/>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D9-40DE-B915-09284C7C9DC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14.799999999999997</c:v>
                </c:pt>
                <c:pt idx="1">
                  <c:v>8.2999999999999972</c:v>
                </c:pt>
                <c:pt idx="2">
                  <c:v>6.7999999999999972</c:v>
                </c:pt>
                <c:pt idx="3">
                  <c:v>8.7999999999999972</c:v>
                </c:pt>
                <c:pt idx="4">
                  <c:v>13</c:v>
                </c:pt>
                <c:pt idx="5">
                  <c:v>18.299999999999997</c:v>
                </c:pt>
                <c:pt idx="6">
                  <c:v>19.400000000000006</c:v>
                </c:pt>
                <c:pt idx="7">
                  <c:v>18.5</c:v>
                </c:pt>
                <c:pt idx="8">
                  <c:v>14.599999999999994</c:v>
                </c:pt>
              </c:numCache>
            </c:numRef>
          </c:val>
          <c:smooth val="0"/>
          <c:extLst>
            <c:ext xmlns:c16="http://schemas.microsoft.com/office/drawing/2014/chart" uri="{C3380CC4-5D6E-409C-BE32-E72D297353CC}">
              <c16:uniqueId val="{0000000E-D3D9-40DE-B915-09284C7C9DCB}"/>
            </c:ext>
          </c:extLst>
        </c:ser>
        <c:dLbls>
          <c:showLegendKey val="0"/>
          <c:showVal val="0"/>
          <c:showCatName val="0"/>
          <c:showSerName val="0"/>
          <c:showPercent val="0"/>
          <c:showBubbleSize val="0"/>
        </c:dLbls>
        <c:marker val="1"/>
        <c:smooth val="0"/>
        <c:axId val="339064704"/>
        <c:axId val="339063168"/>
      </c:lineChart>
      <c:catAx>
        <c:axId val="339051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053184"/>
        <c:crosses val="autoZero"/>
        <c:auto val="1"/>
        <c:lblAlgn val="ctr"/>
        <c:lblOffset val="100"/>
        <c:noMultiLvlLbl val="0"/>
      </c:catAx>
      <c:valAx>
        <c:axId val="339053184"/>
        <c:scaling>
          <c:orientation val="minMax"/>
          <c:max val="3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051648"/>
        <c:crosses val="autoZero"/>
        <c:crossBetween val="between"/>
        <c:majorUnit val="8"/>
      </c:valAx>
      <c:valAx>
        <c:axId val="339063168"/>
        <c:scaling>
          <c:orientation val="minMax"/>
          <c:max val="22"/>
        </c:scaling>
        <c:delete val="0"/>
        <c:axPos val="r"/>
        <c:numFmt formatCode="0.0" sourceLinked="1"/>
        <c:majorTickMark val="out"/>
        <c:minorTickMark val="none"/>
        <c:tickLblPos val="nextTo"/>
        <c:crossAx val="339064704"/>
        <c:crosses val="max"/>
        <c:crossBetween val="between"/>
        <c:majorUnit val="2"/>
      </c:valAx>
      <c:catAx>
        <c:axId val="339064704"/>
        <c:scaling>
          <c:orientation val="minMax"/>
        </c:scaling>
        <c:delete val="1"/>
        <c:axPos val="b"/>
        <c:numFmt formatCode="General" sourceLinked="1"/>
        <c:majorTickMark val="out"/>
        <c:minorTickMark val="none"/>
        <c:tickLblPos val="nextTo"/>
        <c:crossAx val="33906316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2021 12 ամսյա աճը, %</c:v>
                </c:pt>
              </c:strCache>
            </c:strRef>
          </c:tx>
          <c:spPr>
            <a:solidFill>
              <a:schemeClr val="accent5"/>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c:ext xmlns:c16="http://schemas.microsoft.com/office/drawing/2014/chart" uri="{C3380CC4-5D6E-409C-BE32-E72D297353CC}">
              <c16:uniqueId val="{00000000-D6B9-40D5-A97A-41698BFBAB94}"/>
            </c:ext>
          </c:extLst>
        </c:ser>
        <c:ser>
          <c:idx val="3"/>
          <c:order val="3"/>
          <c:tx>
            <c:strRef>
              <c:f>Sheet1!$A$5</c:f>
              <c:strCache>
                <c:ptCount val="1"/>
                <c:pt idx="0">
                  <c:v>2022 12 ամսյա աճը, %</c:v>
                </c:pt>
              </c:strCache>
            </c:strRef>
          </c:tx>
          <c:spPr>
            <a:solidFill>
              <a:schemeClr val="accent6">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6B9-40D5-A97A-41698BFBAB94}"/>
                </c:ext>
              </c:extLst>
            </c:dLbl>
            <c:dLbl>
              <c:idx val="1"/>
              <c:layout>
                <c:manualLayout>
                  <c:x val="-2.116402116402097E-3"/>
                  <c:y val="0.361648856392950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B9-40D5-A97A-41698BFBAB94}"/>
                </c:ext>
              </c:extLst>
            </c:dLbl>
            <c:dLbl>
              <c:idx val="8"/>
              <c:layout>
                <c:manualLayout>
                  <c:x val="2.205071664829107E-3"/>
                  <c:y val="0.128045559905893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B9-40D5-A97A-41698BFBAB9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28.429747589104466</c:v>
                </c:pt>
                <c:pt idx="4">
                  <c:v>23.353110136931647</c:v>
                </c:pt>
                <c:pt idx="5">
                  <c:v>25.963309740001449</c:v>
                </c:pt>
                <c:pt idx="6">
                  <c:v>29.854231544912608</c:v>
                </c:pt>
                <c:pt idx="7">
                  <c:v>30.582312007088177</c:v>
                </c:pt>
                <c:pt idx="8">
                  <c:v>13.167112288233596</c:v>
                </c:pt>
              </c:numCache>
            </c:numRef>
          </c:val>
          <c:extLst>
            <c:ext xmlns:c16="http://schemas.microsoft.com/office/drawing/2014/chart" uri="{C3380CC4-5D6E-409C-BE32-E72D297353CC}">
              <c16:uniqueId val="{00000004-D6B9-40D5-A97A-41698BFBAB94}"/>
            </c:ext>
          </c:extLst>
        </c:ser>
        <c:dLbls>
          <c:showLegendKey val="0"/>
          <c:showVal val="0"/>
          <c:showCatName val="0"/>
          <c:showSerName val="0"/>
          <c:showPercent val="0"/>
          <c:showBubbleSize val="0"/>
        </c:dLbls>
        <c:gapWidth val="128"/>
        <c:axId val="341243776"/>
        <c:axId val="341245312"/>
      </c:barChart>
      <c:lineChart>
        <c:grouping val="standard"/>
        <c:varyColors val="0"/>
        <c:ser>
          <c:idx val="0"/>
          <c:order val="0"/>
          <c:tx>
            <c:strRef>
              <c:f>Sheet1!$A$2</c:f>
              <c:strCache>
                <c:ptCount val="1"/>
                <c:pt idx="0">
                  <c:v>2021 աճի տեմպը,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8"/>
              <c:layout>
                <c:manualLayout>
                  <c:x val="-1.363845506081318E-2"/>
                  <c:y val="-4.8345935809842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B9-40D5-A97A-41698BFBAB94}"/>
                </c:ext>
              </c:extLst>
            </c:dLbl>
            <c:dLbl>
              <c:idx val="9"/>
              <c:layout>
                <c:manualLayout>
                  <c:x val="-1.4162116174287476E-2"/>
                  <c:y val="-3.952564915052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B9-40D5-A97A-41698BFBAB94}"/>
                </c:ext>
              </c:extLst>
            </c:dLbl>
            <c:dLbl>
              <c:idx val="10"/>
              <c:layout>
                <c:manualLayout>
                  <c:x val="-1.7072810771861898E-2"/>
                  <c:y val="-4.393579248018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B9-40D5-A97A-41698BFBAB94}"/>
                </c:ext>
              </c:extLst>
            </c:dLbl>
            <c:dLbl>
              <c:idx val="11"/>
              <c:layout>
                <c:manualLayout>
                  <c:x val="-2.3219057375270368E-2"/>
                  <c:y val="-4.3935792480184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B9-40D5-A97A-41698BFBAB9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c:ext xmlns:c16="http://schemas.microsoft.com/office/drawing/2014/chart" uri="{C3380CC4-5D6E-409C-BE32-E72D297353CC}">
              <c16:uniqueId val="{00000009-D6B9-40D5-A97A-41698BFBAB94}"/>
            </c:ext>
          </c:extLst>
        </c:ser>
        <c:ser>
          <c:idx val="2"/>
          <c:order val="2"/>
          <c:tx>
            <c:strRef>
              <c:f>Sheet1!$A$4</c:f>
              <c:strCache>
                <c:ptCount val="1"/>
                <c:pt idx="0">
                  <c:v>2022 աճի տեմպը,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pt idx="3">
                  <c:v>23.170028686693172</c:v>
                </c:pt>
                <c:pt idx="4">
                  <c:v>23.201233589844321</c:v>
                </c:pt>
                <c:pt idx="5">
                  <c:v>23.686651790698491</c:v>
                </c:pt>
                <c:pt idx="6">
                  <c:v>24.550950594910105</c:v>
                </c:pt>
                <c:pt idx="7">
                  <c:v>25.233917168127334</c:v>
                </c:pt>
                <c:pt idx="8">
                  <c:v>23.606120407191995</c:v>
                </c:pt>
              </c:numCache>
            </c:numRef>
          </c:val>
          <c:smooth val="0"/>
          <c:extLst>
            <c:ext xmlns:c16="http://schemas.microsoft.com/office/drawing/2014/chart" uri="{C3380CC4-5D6E-409C-BE32-E72D297353CC}">
              <c16:uniqueId val="{0000000A-D6B9-40D5-A97A-41698BFBAB94}"/>
            </c:ext>
          </c:extLst>
        </c:ser>
        <c:dLbls>
          <c:showLegendKey val="0"/>
          <c:showVal val="0"/>
          <c:showCatName val="0"/>
          <c:showSerName val="0"/>
          <c:showPercent val="0"/>
          <c:showBubbleSize val="0"/>
        </c:dLbls>
        <c:marker val="1"/>
        <c:smooth val="0"/>
        <c:axId val="341243776"/>
        <c:axId val="341245312"/>
      </c:lineChart>
      <c:catAx>
        <c:axId val="3412437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41245312"/>
        <c:crosses val="autoZero"/>
        <c:auto val="1"/>
        <c:lblAlgn val="ctr"/>
        <c:lblOffset val="100"/>
        <c:noMultiLvlLbl val="0"/>
      </c:catAx>
      <c:valAx>
        <c:axId val="34124531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41243776"/>
        <c:crosses val="autoZero"/>
        <c:crossBetween val="between"/>
      </c:valAx>
      <c:spPr>
        <a:solidFill>
          <a:schemeClr val="bg1"/>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Sheet1!$A$2:$A$36</c:f>
              <c:strCache>
                <c:ptCount val="15"/>
                <c:pt idx="0">
                  <c:v>2019Q1</c:v>
                </c:pt>
                <c:pt idx="1">
                  <c:v>2019Q1-Q2</c:v>
                </c:pt>
                <c:pt idx="2">
                  <c:v>2019Q1-Q3</c:v>
                </c:pt>
                <c:pt idx="3">
                  <c:v>2019Q1-Q4</c:v>
                </c:pt>
                <c:pt idx="4">
                  <c:v>2020Q1</c:v>
                </c:pt>
                <c:pt idx="5">
                  <c:v>2020Q1-Q2</c:v>
                </c:pt>
                <c:pt idx="6">
                  <c:v>2020Q1-Q3</c:v>
                </c:pt>
                <c:pt idx="7">
                  <c:v>2020Q1-Q4</c:v>
                </c:pt>
                <c:pt idx="8">
                  <c:v>2021Q1</c:v>
                </c:pt>
                <c:pt idx="9">
                  <c:v>2021Q1-Q2</c:v>
                </c:pt>
                <c:pt idx="10">
                  <c:v>2021Q1-Q3</c:v>
                </c:pt>
                <c:pt idx="11">
                  <c:v>2021Q1-Q4</c:v>
                </c:pt>
                <c:pt idx="12">
                  <c:v>2022Q1</c:v>
                </c:pt>
                <c:pt idx="13">
                  <c:v>2022Q1-Q2</c:v>
                </c:pt>
                <c:pt idx="14">
                  <c:v>2022Q1-Q3</c:v>
                </c:pt>
              </c:strCache>
            </c:strRef>
          </c:cat>
          <c:val>
            <c:numRef>
              <c:f>Sheet1!$B$2:$B$36</c:f>
              <c:numCache>
                <c:formatCode>0.0</c:formatCode>
                <c:ptCount val="15"/>
                <c:pt idx="0">
                  <c:v>-0.29605774007373481</c:v>
                </c:pt>
                <c:pt idx="1">
                  <c:v>-1.4946169339765136</c:v>
                </c:pt>
                <c:pt idx="2">
                  <c:v>-1.5711012122805816</c:v>
                </c:pt>
                <c:pt idx="3">
                  <c:v>-1.1516344514139831</c:v>
                </c:pt>
                <c:pt idx="4">
                  <c:v>-1.1385808713108454</c:v>
                </c:pt>
                <c:pt idx="5">
                  <c:v>-0.40457736245829973</c:v>
                </c:pt>
                <c:pt idx="6">
                  <c:v>0.34461098379375399</c:v>
                </c:pt>
                <c:pt idx="7">
                  <c:v>0.59026098941645477</c:v>
                </c:pt>
                <c:pt idx="8">
                  <c:v>0.84616314732827036</c:v>
                </c:pt>
                <c:pt idx="9">
                  <c:v>0.52646360013243787</c:v>
                </c:pt>
                <c:pt idx="10">
                  <c:v>-0.24804254424107045</c:v>
                </c:pt>
                <c:pt idx="11">
                  <c:v>-0.45268809792632697</c:v>
                </c:pt>
                <c:pt idx="12">
                  <c:v>-2.8530203579494073</c:v>
                </c:pt>
                <c:pt idx="13">
                  <c:v>-2.2010601016723665</c:v>
                </c:pt>
                <c:pt idx="14">
                  <c:v>-1.1654654530412838</c:v>
                </c:pt>
              </c:numCache>
            </c:numRef>
          </c:val>
          <c:extLst>
            <c:ext xmlns:c16="http://schemas.microsoft.com/office/drawing/2014/chart" uri="{C3380CC4-5D6E-409C-BE32-E72D297353CC}">
              <c16:uniqueId val="{00000000-6ACA-41E8-A0EC-853C8C7CFB07}"/>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Sheet1!$A$2:$A$36</c:f>
              <c:strCache>
                <c:ptCount val="15"/>
                <c:pt idx="0">
                  <c:v>2019Q1</c:v>
                </c:pt>
                <c:pt idx="1">
                  <c:v>2019Q1-Q2</c:v>
                </c:pt>
                <c:pt idx="2">
                  <c:v>2019Q1-Q3</c:v>
                </c:pt>
                <c:pt idx="3">
                  <c:v>2019Q1-Q4</c:v>
                </c:pt>
                <c:pt idx="4">
                  <c:v>2020Q1</c:v>
                </c:pt>
                <c:pt idx="5">
                  <c:v>2020Q1-Q2</c:v>
                </c:pt>
                <c:pt idx="6">
                  <c:v>2020Q1-Q3</c:v>
                </c:pt>
                <c:pt idx="7">
                  <c:v>2020Q1-Q4</c:v>
                </c:pt>
                <c:pt idx="8">
                  <c:v>2021Q1</c:v>
                </c:pt>
                <c:pt idx="9">
                  <c:v>2021Q1-Q2</c:v>
                </c:pt>
                <c:pt idx="10">
                  <c:v>2021Q1-Q3</c:v>
                </c:pt>
                <c:pt idx="11">
                  <c:v>2021Q1-Q4</c:v>
                </c:pt>
                <c:pt idx="12">
                  <c:v>2022Q1</c:v>
                </c:pt>
                <c:pt idx="13">
                  <c:v>2022Q1-Q2</c:v>
                </c:pt>
                <c:pt idx="14">
                  <c:v>2022Q1-Q3</c:v>
                </c:pt>
              </c:strCache>
            </c:strRef>
          </c:cat>
          <c:val>
            <c:numRef>
              <c:f>Sheet1!$C$2:$C$36</c:f>
              <c:numCache>
                <c:formatCode>0.0</c:formatCode>
                <c:ptCount val="15"/>
                <c:pt idx="0">
                  <c:v>-1.4845693099451553</c:v>
                </c:pt>
                <c:pt idx="1">
                  <c:v>-0.73744833311063895</c:v>
                </c:pt>
                <c:pt idx="2">
                  <c:v>1.1342613897235347</c:v>
                </c:pt>
                <c:pt idx="3">
                  <c:v>1.0312041178910254</c:v>
                </c:pt>
                <c:pt idx="4">
                  <c:v>2.9000330051763488</c:v>
                </c:pt>
                <c:pt idx="5">
                  <c:v>5.2168936288117598</c:v>
                </c:pt>
                <c:pt idx="6">
                  <c:v>3.7860772715526259</c:v>
                </c:pt>
                <c:pt idx="7">
                  <c:v>3.8296328572976641</c:v>
                </c:pt>
                <c:pt idx="8">
                  <c:v>2.3517279837672005</c:v>
                </c:pt>
                <c:pt idx="9">
                  <c:v>-0.26520936285382035</c:v>
                </c:pt>
                <c:pt idx="10">
                  <c:v>-0.90688370916737415</c:v>
                </c:pt>
                <c:pt idx="11">
                  <c:v>-1.5664482332043781</c:v>
                </c:pt>
                <c:pt idx="12">
                  <c:v>-2.0274815294451449</c:v>
                </c:pt>
                <c:pt idx="13">
                  <c:v>-1.7933177508484999</c:v>
                </c:pt>
                <c:pt idx="14">
                  <c:v>-1.075933751113648</c:v>
                </c:pt>
              </c:numCache>
            </c:numRef>
          </c:val>
          <c:extLst>
            <c:ext xmlns:c16="http://schemas.microsoft.com/office/drawing/2014/chart" uri="{C3380CC4-5D6E-409C-BE32-E72D297353CC}">
              <c16:uniqueId val="{00000001-6ACA-41E8-A0EC-853C8C7CFB07}"/>
            </c:ext>
          </c:extLst>
        </c:ser>
        <c:dLbls>
          <c:showLegendKey val="0"/>
          <c:showVal val="0"/>
          <c:showCatName val="0"/>
          <c:showSerName val="0"/>
          <c:showPercent val="0"/>
          <c:showBubbleSize val="0"/>
        </c:dLbls>
        <c:gapWidth val="150"/>
        <c:axId val="340993152"/>
        <c:axId val="340994688"/>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5"/>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CA-41E8-A0EC-853C8C7CFB07}"/>
                </c:ext>
              </c:extLst>
            </c:dLbl>
            <c:dLbl>
              <c:idx val="6"/>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CA-41E8-A0EC-853C8C7CFB07}"/>
                </c:ext>
              </c:extLst>
            </c:dLbl>
            <c:dLbl>
              <c:idx val="7"/>
              <c:layout>
                <c:manualLayout>
                  <c:x val="-2.7773682687085882E-2"/>
                  <c:y val="-4.957592599243329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8640668813862422E-2"/>
                      <c:h val="7.9706569203656583E-2"/>
                    </c:manualLayout>
                  </c15:layout>
                </c:ext>
                <c:ext xmlns:c16="http://schemas.microsoft.com/office/drawing/2014/chart" uri="{C3380CC4-5D6E-409C-BE32-E72D297353CC}">
                  <c16:uniqueId val="{00000004-6ACA-41E8-A0EC-853C8C7CFB07}"/>
                </c:ext>
              </c:extLst>
            </c:dLbl>
            <c:dLbl>
              <c:idx val="8"/>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CA-41E8-A0EC-853C8C7CFB07}"/>
                </c:ext>
              </c:extLst>
            </c:dLbl>
            <c:dLbl>
              <c:idx val="12"/>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CA-41E8-A0EC-853C8C7CFB07}"/>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Sheet1!$A$2:$A$36</c:f>
              <c:strCache>
                <c:ptCount val="15"/>
                <c:pt idx="0">
                  <c:v>2019Q1</c:v>
                </c:pt>
                <c:pt idx="1">
                  <c:v>2019Q1-Q2</c:v>
                </c:pt>
                <c:pt idx="2">
                  <c:v>2019Q1-Q3</c:v>
                </c:pt>
                <c:pt idx="3">
                  <c:v>2019Q1-Q4</c:v>
                </c:pt>
                <c:pt idx="4">
                  <c:v>2020Q1</c:v>
                </c:pt>
                <c:pt idx="5">
                  <c:v>2020Q1-Q2</c:v>
                </c:pt>
                <c:pt idx="6">
                  <c:v>2020Q1-Q3</c:v>
                </c:pt>
                <c:pt idx="7">
                  <c:v>2020Q1-Q4</c:v>
                </c:pt>
                <c:pt idx="8">
                  <c:v>2021Q1</c:v>
                </c:pt>
                <c:pt idx="9">
                  <c:v>2021Q1-Q2</c:v>
                </c:pt>
                <c:pt idx="10">
                  <c:v>2021Q1-Q3</c:v>
                </c:pt>
                <c:pt idx="11">
                  <c:v>2021Q1-Q4</c:v>
                </c:pt>
                <c:pt idx="12">
                  <c:v>2022Q1</c:v>
                </c:pt>
                <c:pt idx="13">
                  <c:v>2022Q1-Q2</c:v>
                </c:pt>
                <c:pt idx="14">
                  <c:v>2022Q1-Q3</c:v>
                </c:pt>
              </c:strCache>
            </c:strRef>
          </c:cat>
          <c:val>
            <c:numRef>
              <c:f>Sheet1!$D$2:$D$36</c:f>
              <c:numCache>
                <c:formatCode>0.0</c:formatCode>
                <c:ptCount val="15"/>
                <c:pt idx="0">
                  <c:v>-1.7806270500188901</c:v>
                </c:pt>
                <c:pt idx="1">
                  <c:v>-2.2320652670871528</c:v>
                </c:pt>
                <c:pt idx="2">
                  <c:v>-0.4368398225570469</c:v>
                </c:pt>
                <c:pt idx="3">
                  <c:v>-0.12043033352295773</c:v>
                </c:pt>
                <c:pt idx="4">
                  <c:v>1.7614521338655034</c:v>
                </c:pt>
                <c:pt idx="5">
                  <c:v>4.8123162663534602</c:v>
                </c:pt>
                <c:pt idx="6">
                  <c:v>4.1306882553463797</c:v>
                </c:pt>
                <c:pt idx="7">
                  <c:v>4.4198938467141193</c:v>
                </c:pt>
                <c:pt idx="8">
                  <c:v>3.1978911310954707</c:v>
                </c:pt>
                <c:pt idx="9">
                  <c:v>0.26125423727861752</c:v>
                </c:pt>
                <c:pt idx="10">
                  <c:v>-1.1549262534084446</c:v>
                </c:pt>
                <c:pt idx="11">
                  <c:v>-2.0191363311307051</c:v>
                </c:pt>
                <c:pt idx="12">
                  <c:v>-4.8805018873945523</c:v>
                </c:pt>
                <c:pt idx="13">
                  <c:v>-3.9943778525208664</c:v>
                </c:pt>
                <c:pt idx="14">
                  <c:v>-2.2413992041549315</c:v>
                </c:pt>
              </c:numCache>
            </c:numRef>
          </c:val>
          <c:smooth val="0"/>
          <c:extLst>
            <c:ext xmlns:c16="http://schemas.microsoft.com/office/drawing/2014/chart" uri="{C3380CC4-5D6E-409C-BE32-E72D297353CC}">
              <c16:uniqueId val="{00000007-6ACA-41E8-A0EC-853C8C7CFB07}"/>
            </c:ext>
          </c:extLst>
        </c:ser>
        <c:dLbls>
          <c:showLegendKey val="0"/>
          <c:showVal val="0"/>
          <c:showCatName val="0"/>
          <c:showSerName val="0"/>
          <c:showPercent val="0"/>
          <c:showBubbleSize val="0"/>
        </c:dLbls>
        <c:marker val="1"/>
        <c:smooth val="0"/>
        <c:axId val="340993152"/>
        <c:axId val="340994688"/>
      </c:lineChart>
      <c:catAx>
        <c:axId val="340993152"/>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40994688"/>
        <c:crosses val="autoZero"/>
        <c:auto val="1"/>
        <c:lblAlgn val="ctr"/>
        <c:lblOffset val="100"/>
        <c:tickLblSkip val="1"/>
        <c:noMultiLvlLbl val="0"/>
      </c:catAx>
      <c:valAx>
        <c:axId val="340994688"/>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40993152"/>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3.7030065700093595</c:v>
                </c:pt>
                <c:pt idx="1">
                  <c:v>2.0666718542081428</c:v>
                </c:pt>
                <c:pt idx="2">
                  <c:v>0.76830855200421311</c:v>
                </c:pt>
                <c:pt idx="3">
                  <c:v>0.65983558706855716</c:v>
                </c:pt>
                <c:pt idx="4">
                  <c:v>0.62097885037064227</c:v>
                </c:pt>
                <c:pt idx="5">
                  <c:v>1.3037686305111453</c:v>
                </c:pt>
                <c:pt idx="6">
                  <c:v>1.5714382399563389</c:v>
                </c:pt>
                <c:pt idx="7">
                  <c:v>2.0538798313354554</c:v>
                </c:pt>
                <c:pt idx="8">
                  <c:v>2.2173692035984147</c:v>
                </c:pt>
              </c:numCache>
            </c:numRef>
          </c:val>
          <c:extLst>
            <c:ext xmlns:c16="http://schemas.microsoft.com/office/drawing/2014/chart" uri="{C3380CC4-5D6E-409C-BE32-E72D297353CC}">
              <c16:uniqueId val="{00000000-B8D8-4E77-8574-882AEDF6851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0.0</c:formatCode>
                <c:ptCount val="9"/>
                <c:pt idx="0">
                  <c:v>0</c:v>
                </c:pt>
                <c:pt idx="1">
                  <c:v>0</c:v>
                </c:pt>
                <c:pt idx="2">
                  <c:v>-0.67444374001273288</c:v>
                </c:pt>
                <c:pt idx="3">
                  <c:v>0</c:v>
                </c:pt>
                <c:pt idx="4">
                  <c:v>0</c:v>
                </c:pt>
                <c:pt idx="5">
                  <c:v>-0.68693343890185687</c:v>
                </c:pt>
                <c:pt idx="6">
                  <c:v>0</c:v>
                </c:pt>
                <c:pt idx="7">
                  <c:v>0</c:v>
                </c:pt>
                <c:pt idx="8">
                  <c:v>-8.7427892223873052E-2</c:v>
                </c:pt>
              </c:numCache>
            </c:numRef>
          </c:val>
          <c:extLst>
            <c:ext xmlns:c16="http://schemas.microsoft.com/office/drawing/2014/chart" uri="{C3380CC4-5D6E-409C-BE32-E72D297353CC}">
              <c16:uniqueId val="{00000001-B8D8-4E77-8574-882AEDF68518}"/>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0.21525790674990417</c:v>
                </c:pt>
                <c:pt idx="1">
                  <c:v>0.35158791435817721</c:v>
                </c:pt>
                <c:pt idx="2">
                  <c:v>0.44486634061646879</c:v>
                </c:pt>
                <c:pt idx="3">
                  <c:v>0.64577372024971247</c:v>
                </c:pt>
                <c:pt idx="4">
                  <c:v>0.81798004564963622</c:v>
                </c:pt>
                <c:pt idx="5">
                  <c:v>0.91125847190792786</c:v>
                </c:pt>
                <c:pt idx="6">
                  <c:v>0.97583584393289846</c:v>
                </c:pt>
                <c:pt idx="7">
                  <c:v>1.0188874252828799</c:v>
                </c:pt>
                <c:pt idx="8">
                  <c:v>1.0260626888412097</c:v>
                </c:pt>
              </c:numCache>
            </c:numRef>
          </c:val>
          <c:extLst>
            <c:ext xmlns:c16="http://schemas.microsoft.com/office/drawing/2014/chart" uri="{C3380CC4-5D6E-409C-BE32-E72D297353CC}">
              <c16:uniqueId val="{00000002-B8D8-4E77-8574-882AEDF68518}"/>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9.7040852150518262</c:v>
                </c:pt>
                <c:pt idx="1">
                  <c:v>9.1890623644776088</c:v>
                </c:pt>
                <c:pt idx="2">
                  <c:v>10.145961155806249</c:v>
                </c:pt>
                <c:pt idx="3">
                  <c:v>10.748298796805924</c:v>
                </c:pt>
                <c:pt idx="4">
                  <c:v>11.413859651454409</c:v>
                </c:pt>
                <c:pt idx="5">
                  <c:v>12.302544361735281</c:v>
                </c:pt>
                <c:pt idx="6">
                  <c:v>12.574371185841542</c:v>
                </c:pt>
                <c:pt idx="7">
                  <c:v>12.430106779093611</c:v>
                </c:pt>
                <c:pt idx="8">
                  <c:v>12.404750439995491</c:v>
                </c:pt>
              </c:numCache>
            </c:numRef>
          </c:val>
          <c:extLst>
            <c:ext xmlns:c16="http://schemas.microsoft.com/office/drawing/2014/chart" uri="{C3380CC4-5D6E-409C-BE32-E72D297353CC}">
              <c16:uniqueId val="{00000003-B8D8-4E77-8574-882AEDF68518}"/>
            </c:ext>
          </c:extLst>
        </c:ser>
        <c:ser>
          <c:idx val="5"/>
          <c:order val="5"/>
          <c:tx>
            <c:strRef>
              <c:f>Sheet1!$A$7</c:f>
              <c:strCache>
                <c:ptCount val="1"/>
                <c:pt idx="0">
                  <c:v>առևտուր</c:v>
                </c:pt>
              </c:strCache>
            </c:strRef>
          </c:tx>
          <c:spPr>
            <a:solidFill>
              <a:srgbClr val="F7964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1.4245462451075392</c:v>
                </c:pt>
                <c:pt idx="1">
                  <c:v>1.0157634095549413</c:v>
                </c:pt>
                <c:pt idx="2">
                  <c:v>0.941439257636286</c:v>
                </c:pt>
                <c:pt idx="3">
                  <c:v>0.96621397494250449</c:v>
                </c:pt>
                <c:pt idx="4">
                  <c:v>1.102474920126705</c:v>
                </c:pt>
                <c:pt idx="5">
                  <c:v>1.3254473758826673</c:v>
                </c:pt>
                <c:pt idx="6">
                  <c:v>1.5484198316386295</c:v>
                </c:pt>
                <c:pt idx="7">
                  <c:v>1.6846807768228282</c:v>
                </c:pt>
                <c:pt idx="8">
                  <c:v>1.7961670047008103</c:v>
                </c:pt>
              </c:numCache>
            </c:numRef>
          </c:val>
          <c:extLst>
            <c:ext xmlns:c16="http://schemas.microsoft.com/office/drawing/2014/chart" uri="{C3380CC4-5D6E-409C-BE32-E72D297353CC}">
              <c16:uniqueId val="{00000004-B8D8-4E77-8574-882AEDF68518}"/>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Sheet1!$B$8:$J$8</c:f>
              <c:numCache>
                <c:formatCode>0.0</c:formatCode>
                <c:ptCount val="9"/>
                <c:pt idx="0">
                  <c:v>-0.2468959369186321</c:v>
                </c:pt>
                <c:pt idx="1">
                  <c:v>-1.2577611672737814</c:v>
                </c:pt>
                <c:pt idx="2">
                  <c:v>-1.9383065313428696</c:v>
                </c:pt>
                <c:pt idx="3">
                  <c:v>-3.5765455370264787</c:v>
                </c:pt>
                <c:pt idx="4">
                  <c:v>-3.7313632768855158</c:v>
                </c:pt>
                <c:pt idx="5">
                  <c:v>-3.3432421167609263</c:v>
                </c:pt>
                <c:pt idx="6">
                  <c:v>-3.570065101369416</c:v>
                </c:pt>
                <c:pt idx="7">
                  <c:v>-3.2344712777951408</c:v>
                </c:pt>
                <c:pt idx="8">
                  <c:v>-3.2569214449120558</c:v>
                </c:pt>
              </c:numCache>
            </c:numRef>
          </c:val>
          <c:extLst>
            <c:ext xmlns:c16="http://schemas.microsoft.com/office/drawing/2014/chart" uri="{C3380CC4-5D6E-409C-BE32-E72D297353CC}">
              <c16:uniqueId val="{00000005-B8D8-4E77-8574-882AEDF68518}"/>
            </c:ext>
          </c:extLst>
        </c:ser>
        <c:dLbls>
          <c:showLegendKey val="0"/>
          <c:showVal val="0"/>
          <c:showCatName val="0"/>
          <c:showSerName val="0"/>
          <c:showPercent val="0"/>
          <c:showBubbleSize val="0"/>
        </c:dLbls>
        <c:gapWidth val="150"/>
        <c:overlap val="100"/>
        <c:axId val="338974592"/>
        <c:axId val="338976128"/>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D8-4E77-8574-882AEDF68518}"/>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D8-4E77-8574-882AEDF68518}"/>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8D8-4E77-8574-882AEDF68518}"/>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D8-4E77-8574-882AEDF68518}"/>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D8-4E77-8574-882AEDF68518}"/>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D8-4E77-8574-882AEDF68518}"/>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8D8-4E77-8574-882AEDF68518}"/>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8D8-4E77-8574-882AEDF68518}"/>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8D8-4E77-8574-882AEDF68518}"/>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D8-4E77-8574-882AEDF685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14.799999999999997</c:v>
                </c:pt>
                <c:pt idx="1">
                  <c:v>11.365324375325088</c:v>
                </c:pt>
                <c:pt idx="2">
                  <c:v>9.6878250347076147</c:v>
                </c:pt>
                <c:pt idx="3">
                  <c:v>9.4435765420402191</c:v>
                </c:pt>
                <c:pt idx="4">
                  <c:v>10.223930190715876</c:v>
                </c:pt>
                <c:pt idx="5">
                  <c:v>11.812843284374239</c:v>
                </c:pt>
                <c:pt idx="6">
                  <c:v>13.099999999999994</c:v>
                </c:pt>
                <c:pt idx="7">
                  <c:v>13.953083534739633</c:v>
                </c:pt>
                <c:pt idx="8">
                  <c:v>14.099999999999994</c:v>
                </c:pt>
              </c:numCache>
            </c:numRef>
          </c:val>
          <c:smooth val="0"/>
          <c:extLst>
            <c:ext xmlns:c16="http://schemas.microsoft.com/office/drawing/2014/chart" uri="{C3380CC4-5D6E-409C-BE32-E72D297353CC}">
              <c16:uniqueId val="{00000010-B8D8-4E77-8574-882AEDF68518}"/>
            </c:ext>
          </c:extLst>
        </c:ser>
        <c:dLbls>
          <c:showLegendKey val="0"/>
          <c:showVal val="0"/>
          <c:showCatName val="0"/>
          <c:showSerName val="0"/>
          <c:showPercent val="0"/>
          <c:showBubbleSize val="0"/>
        </c:dLbls>
        <c:marker val="1"/>
        <c:smooth val="0"/>
        <c:axId val="338974592"/>
        <c:axId val="338976128"/>
      </c:lineChart>
      <c:catAx>
        <c:axId val="338974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8976128"/>
        <c:crosses val="autoZero"/>
        <c:auto val="1"/>
        <c:lblAlgn val="ctr"/>
        <c:lblOffset val="100"/>
        <c:noMultiLvlLbl val="0"/>
      </c:catAx>
      <c:valAx>
        <c:axId val="338976128"/>
        <c:scaling>
          <c:orientation val="minMax"/>
          <c:max val="18"/>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8974592"/>
        <c:crosses val="autoZero"/>
        <c:crossBetween val="between"/>
        <c:majorUnit val="5"/>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3.7030065700093533</c:v>
                </c:pt>
                <c:pt idx="1">
                  <c:v>0.64303706904354152</c:v>
                </c:pt>
                <c:pt idx="2">
                  <c:v>-1.4191162903029866</c:v>
                </c:pt>
                <c:pt idx="3">
                  <c:v>0.37695276461173111</c:v>
                </c:pt>
                <c:pt idx="4">
                  <c:v>0.48782122479165185</c:v>
                </c:pt>
                <c:pt idx="5">
                  <c:v>4.2351751788729706</c:v>
                </c:pt>
                <c:pt idx="6">
                  <c:v>3.0377958089298289</c:v>
                </c:pt>
                <c:pt idx="7">
                  <c:v>5.1664702443843051</c:v>
                </c:pt>
                <c:pt idx="8">
                  <c:v>3.2817064213256533</c:v>
                </c:pt>
              </c:numCache>
            </c:numRef>
          </c:val>
          <c:extLst>
            <c:ext xmlns:c16="http://schemas.microsoft.com/office/drawing/2014/chart" uri="{C3380CC4-5D6E-409C-BE32-E72D297353CC}">
              <c16:uniqueId val="{00000000-B390-484B-9818-771AD282873E}"/>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0.21525790674990417</c:v>
                </c:pt>
                <c:pt idx="1">
                  <c:v>0.45204160417479855</c:v>
                </c:pt>
                <c:pt idx="2">
                  <c:v>0.58837161178307162</c:v>
                </c:pt>
                <c:pt idx="3">
                  <c:v>1.1193411150995012</c:v>
                </c:pt>
                <c:pt idx="4">
                  <c:v>1.2987227040577547</c:v>
                </c:pt>
                <c:pt idx="5">
                  <c:v>1.1982690142411334</c:v>
                </c:pt>
                <c:pt idx="6">
                  <c:v>1.2054442777994632</c:v>
                </c:pt>
                <c:pt idx="7">
                  <c:v>1.1695679600078124</c:v>
                </c:pt>
                <c:pt idx="8">
                  <c:v>1.0475884795161998</c:v>
                </c:pt>
              </c:numCache>
            </c:numRef>
          </c:val>
          <c:extLst>
            <c:ext xmlns:c16="http://schemas.microsoft.com/office/drawing/2014/chart" uri="{C3380CC4-5D6E-409C-BE32-E72D297353CC}">
              <c16:uniqueId val="{00000001-B390-484B-9818-771AD282873E}"/>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9.7040852150518262</c:v>
                </c:pt>
                <c:pt idx="1">
                  <c:v>8.6970575040558806</c:v>
                </c:pt>
                <c:pt idx="2">
                  <c:v>11.855462597634071</c:v>
                </c:pt>
                <c:pt idx="3">
                  <c:v>12.404750439995491</c:v>
                </c:pt>
                <c:pt idx="4">
                  <c:v>13.8237440327625</c:v>
                </c:pt>
                <c:pt idx="5">
                  <c:v>16.24976533652546</c:v>
                </c:pt>
                <c:pt idx="6">
                  <c:v>14.006839980216311</c:v>
                </c:pt>
                <c:pt idx="7">
                  <c:v>11.535044689589906</c:v>
                </c:pt>
                <c:pt idx="8">
                  <c:v>12.038558545087875</c:v>
                </c:pt>
              </c:numCache>
            </c:numRef>
          </c:val>
          <c:extLst>
            <c:ext xmlns:c16="http://schemas.microsoft.com/office/drawing/2014/chart" uri="{C3380CC4-5D6E-409C-BE32-E72D297353CC}">
              <c16:uniqueId val="{00000002-B390-484B-9818-771AD282873E}"/>
            </c:ext>
          </c:extLst>
        </c:ser>
        <c:ser>
          <c:idx val="4"/>
          <c:order val="4"/>
          <c:tx>
            <c:strRef>
              <c:f>Sheet1!$A$6</c:f>
              <c:strCache>
                <c:ptCount val="1"/>
                <c:pt idx="0">
                  <c:v>առևտուր</c:v>
                </c:pt>
              </c:strCache>
            </c:strRef>
          </c:tx>
          <c:spPr>
            <a:solidFill>
              <a:srgbClr val="F79646">
                <a:lumMod val="75000"/>
              </a:srgbClr>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1.4245462451075392</c:v>
                </c:pt>
                <c:pt idx="1">
                  <c:v>0.6565300086147785</c:v>
                </c:pt>
                <c:pt idx="2">
                  <c:v>0.81756567110519562</c:v>
                </c:pt>
                <c:pt idx="3">
                  <c:v>1.0653128441673765</c:v>
                </c:pt>
                <c:pt idx="4">
                  <c:v>1.5360324729855213</c:v>
                </c:pt>
                <c:pt idx="5">
                  <c:v>2.2544992748658448</c:v>
                </c:pt>
                <c:pt idx="6">
                  <c:v>2.6385073931122243</c:v>
                </c:pt>
                <c:pt idx="7">
                  <c:v>2.477471730621807</c:v>
                </c:pt>
                <c:pt idx="8">
                  <c:v>2.5641832411935708</c:v>
                </c:pt>
              </c:numCache>
            </c:numRef>
          </c:val>
          <c:extLst>
            <c:ext xmlns:c16="http://schemas.microsoft.com/office/drawing/2014/chart" uri="{C3380CC4-5D6E-409C-BE32-E72D297353CC}">
              <c16:uniqueId val="{00000003-B390-484B-9818-771AD282873E}"/>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Sheet1!$B$7:$J$7</c:f>
              <c:numCache>
                <c:formatCode>0.0</c:formatCode>
                <c:ptCount val="9"/>
                <c:pt idx="0">
                  <c:v>-0.24689593691862655</c:v>
                </c:pt>
                <c:pt idx="1">
                  <c:v>-2.1486661858890024</c:v>
                </c:pt>
                <c:pt idx="2">
                  <c:v>-5.0422835902193555</c:v>
                </c:pt>
                <c:pt idx="3">
                  <c:v>-6.1663571638741033</c:v>
                </c:pt>
                <c:pt idx="4">
                  <c:v>-4.1463204345974276</c:v>
                </c:pt>
                <c:pt idx="5">
                  <c:v>-5.637708804505408</c:v>
                </c:pt>
                <c:pt idx="6">
                  <c:v>-1.4885874600578219</c:v>
                </c:pt>
                <c:pt idx="7">
                  <c:v>-1.8485546246038318</c:v>
                </c:pt>
                <c:pt idx="8">
                  <c:v>-4.3320366871233063</c:v>
                </c:pt>
              </c:numCache>
            </c:numRef>
          </c:val>
          <c:extLst>
            <c:ext xmlns:c16="http://schemas.microsoft.com/office/drawing/2014/chart" uri="{C3380CC4-5D6E-409C-BE32-E72D297353CC}">
              <c16:uniqueId val="{00000004-B390-484B-9818-771AD282873E}"/>
            </c:ext>
          </c:extLst>
        </c:ser>
        <c:dLbls>
          <c:showLegendKey val="0"/>
          <c:showVal val="0"/>
          <c:showCatName val="0"/>
          <c:showSerName val="0"/>
          <c:showPercent val="0"/>
          <c:showBubbleSize val="0"/>
        </c:dLbls>
        <c:gapWidth val="219"/>
        <c:overlap val="100"/>
        <c:axId val="339544704"/>
        <c:axId val="339554688"/>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390-484B-9818-771AD282873E}"/>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390-484B-9818-771AD282873E}"/>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390-484B-9818-771AD282873E}"/>
                </c:ext>
              </c:extLst>
            </c:dLbl>
            <c:dLbl>
              <c:idx val="3"/>
              <c:layout>
                <c:manualLayout>
                  <c:x val="-7.8692797469716913E-2"/>
                  <c:y val="-4.4203728990926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390-484B-9818-771AD282873E}"/>
                </c:ext>
              </c:extLst>
            </c:dLbl>
            <c:dLbl>
              <c:idx val="4"/>
              <c:layout>
                <c:manualLayout>
                  <c:x val="-5.3374731943995959E-2"/>
                  <c:y val="-5.7169693334524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390-484B-9818-771AD282873E}"/>
                </c:ext>
              </c:extLst>
            </c:dLbl>
            <c:dLbl>
              <c:idx val="5"/>
              <c:layout>
                <c:manualLayout>
                  <c:x val="-5.8885383806519379E-2"/>
                  <c:y val="-5.18638573743922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390-484B-9818-771AD282873E}"/>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390-484B-9818-771AD282873E}"/>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390-484B-9818-771AD282873E}"/>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390-484B-9818-771AD282873E}"/>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90-484B-9818-771AD282873E}"/>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14.799999999999997</c:v>
                </c:pt>
                <c:pt idx="1">
                  <c:v>8.2999999999999972</c:v>
                </c:pt>
                <c:pt idx="2">
                  <c:v>6.7999999999999972</c:v>
                </c:pt>
                <c:pt idx="3">
                  <c:v>8.7999999999999972</c:v>
                </c:pt>
                <c:pt idx="4">
                  <c:v>13</c:v>
                </c:pt>
                <c:pt idx="5">
                  <c:v>18.299999999999997</c:v>
                </c:pt>
                <c:pt idx="6">
                  <c:v>19.400000000000006</c:v>
                </c:pt>
                <c:pt idx="7">
                  <c:v>18.5</c:v>
                </c:pt>
                <c:pt idx="8">
                  <c:v>14.599999999999994</c:v>
                </c:pt>
              </c:numCache>
            </c:numRef>
          </c:val>
          <c:smooth val="0"/>
          <c:extLst>
            <c:ext xmlns:c16="http://schemas.microsoft.com/office/drawing/2014/chart" uri="{C3380CC4-5D6E-409C-BE32-E72D297353CC}">
              <c16:uniqueId val="{0000000F-B390-484B-9818-771AD282873E}"/>
            </c:ext>
          </c:extLst>
        </c:ser>
        <c:dLbls>
          <c:showLegendKey val="0"/>
          <c:showVal val="0"/>
          <c:showCatName val="0"/>
          <c:showSerName val="0"/>
          <c:showPercent val="0"/>
          <c:showBubbleSize val="0"/>
        </c:dLbls>
        <c:marker val="1"/>
        <c:smooth val="0"/>
        <c:axId val="339544704"/>
        <c:axId val="339554688"/>
      </c:lineChart>
      <c:catAx>
        <c:axId val="33954470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554688"/>
        <c:crosses val="autoZero"/>
        <c:auto val="1"/>
        <c:lblAlgn val="ctr"/>
        <c:lblOffset val="100"/>
        <c:noMultiLvlLbl val="0"/>
      </c:catAx>
      <c:valAx>
        <c:axId val="339554688"/>
        <c:scaling>
          <c:orientation val="minMax"/>
          <c:max val="25"/>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544704"/>
        <c:crosses val="autoZero"/>
        <c:crossBetween val="between"/>
        <c:majorUnit val="7"/>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Sheet1!$C$2:$C$62</c:f>
              <c:numCache>
                <c:formatCode>0.0</c:formatCode>
                <c:ptCount val="11"/>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numCache>
            </c:numRef>
          </c:val>
          <c:extLst>
            <c:ext xmlns:c16="http://schemas.microsoft.com/office/drawing/2014/chart" uri="{C3380CC4-5D6E-409C-BE32-E72D297353CC}">
              <c16:uniqueId val="{00000000-D985-493D-B0B1-0797E174CF75}"/>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Sheet1!$D$2:$D$62</c:f>
              <c:numCache>
                <c:formatCode>0.0</c:formatCode>
                <c:ptCount val="11"/>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numCache>
            </c:numRef>
          </c:val>
          <c:extLst>
            <c:ext xmlns:c16="http://schemas.microsoft.com/office/drawing/2014/chart" uri="{C3380CC4-5D6E-409C-BE32-E72D297353CC}">
              <c16:uniqueId val="{00000001-D985-493D-B0B1-0797E174CF75}"/>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Sheet1!$E$2:$E$62</c:f>
              <c:numCache>
                <c:formatCode>0.0</c:formatCode>
                <c:ptCount val="11"/>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numCache>
            </c:numRef>
          </c:val>
          <c:extLst>
            <c:ext xmlns:c16="http://schemas.microsoft.com/office/drawing/2014/chart" uri="{C3380CC4-5D6E-409C-BE32-E72D297353CC}">
              <c16:uniqueId val="{00000002-D985-493D-B0B1-0797E174CF75}"/>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Sheet1!$F$2:$F$62</c:f>
              <c:numCache>
                <c:formatCode>0.0</c:formatCode>
                <c:ptCount val="11"/>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numCache>
            </c:numRef>
          </c:val>
          <c:extLst>
            <c:ext xmlns:c16="http://schemas.microsoft.com/office/drawing/2014/chart" uri="{C3380CC4-5D6E-409C-BE32-E72D297353CC}">
              <c16:uniqueId val="{00000003-D985-493D-B0B1-0797E174CF75}"/>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c:ext xmlns:c16="http://schemas.microsoft.com/office/drawing/2014/chart" uri="{C3380CC4-5D6E-409C-BE32-E72D297353CC}">
                <c16:uniqueId val="{00000004-D985-493D-B0B1-0797E174CF75}"/>
              </c:ext>
            </c:extLst>
          </c:dPt>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D985-493D-B0B1-0797E174CF75}"/>
              </c:ext>
            </c:extLst>
          </c:dPt>
          <c:dLbls>
            <c:dLbl>
              <c:idx val="4"/>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985-493D-B0B1-0797E174CF75}"/>
                </c:ext>
              </c:extLst>
            </c:dLbl>
            <c:dLbl>
              <c:idx val="6"/>
              <c:layout>
                <c:manualLayout>
                  <c:x val="-2.9025239338555265E-2"/>
                  <c:y val="-3.7866817155756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985-493D-B0B1-0797E174CF7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Sheet1!$B$2:$B$62</c:f>
              <c:numCache>
                <c:formatCode>0.0</c:formatCode>
                <c:ptCount val="11"/>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numCache>
            </c:numRef>
          </c:val>
          <c:smooth val="0"/>
          <c:extLst>
            <c:ext xmlns:c16="http://schemas.microsoft.com/office/drawing/2014/chart" uri="{C3380CC4-5D6E-409C-BE32-E72D297353CC}">
              <c16:uniqueId val="{00000008-D985-493D-B0B1-0797E174CF75}"/>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Sheet1!$C$2:$C$62</c:f>
              <c:numCache>
                <c:formatCode>0.0</c:formatCode>
                <c:ptCount val="11"/>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numCache>
            </c:numRef>
          </c:val>
          <c:extLst>
            <c:ext xmlns:c16="http://schemas.microsoft.com/office/drawing/2014/chart" uri="{C3380CC4-5D6E-409C-BE32-E72D297353CC}">
              <c16:uniqueId val="{00000000-AEDC-4866-83DE-4052D57C097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Sheet1!$D$2:$D$62</c:f>
              <c:numCache>
                <c:formatCode>0.0</c:formatCode>
                <c:ptCount val="11"/>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numCache>
            </c:numRef>
          </c:val>
          <c:extLst>
            <c:ext xmlns:c16="http://schemas.microsoft.com/office/drawing/2014/chart" uri="{C3380CC4-5D6E-409C-BE32-E72D297353CC}">
              <c16:uniqueId val="{00000001-AEDC-4866-83DE-4052D57C097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Sheet1!$E$2:$E$62</c:f>
              <c:numCache>
                <c:formatCode>0.0</c:formatCode>
                <c:ptCount val="11"/>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numCache>
            </c:numRef>
          </c:val>
          <c:extLst>
            <c:ext xmlns:c16="http://schemas.microsoft.com/office/drawing/2014/chart" uri="{C3380CC4-5D6E-409C-BE32-E72D297353CC}">
              <c16:uniqueId val="{00000002-AEDC-4866-83DE-4052D57C0977}"/>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Sheet1!$F$2:$F$62</c:f>
              <c:numCache>
                <c:formatCode>0.0</c:formatCode>
                <c:ptCount val="11"/>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numCache>
            </c:numRef>
          </c:val>
          <c:extLst>
            <c:ext xmlns:c16="http://schemas.microsoft.com/office/drawing/2014/chart" uri="{C3380CC4-5D6E-409C-BE32-E72D297353CC}">
              <c16:uniqueId val="{00000003-AEDC-4866-83DE-4052D57C0977}"/>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AEDC-4866-83DE-4052D57C0977}"/>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Sheet1!$B$2:$B$62</c:f>
              <c:numCache>
                <c:formatCode>0.0</c:formatCode>
                <c:ptCount val="11"/>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numCache>
            </c:numRef>
          </c:val>
          <c:smooth val="0"/>
          <c:extLst>
            <c:ext xmlns:c16="http://schemas.microsoft.com/office/drawing/2014/chart" uri="{C3380CC4-5D6E-409C-BE32-E72D297353CC}">
              <c16:uniqueId val="{00000005-AEDC-4866-83DE-4052D57C0977}"/>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C6C1-4F66-906D-5B4E00504128}"/>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C6C1-4F66-906D-5B4E00504128}"/>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C6C1-4F66-906D-5B4E00504128}"/>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C6C1-4F66-906D-5B4E00504128}"/>
            </c:ext>
          </c:extLst>
        </c:ser>
        <c:dLbls>
          <c:showLegendKey val="0"/>
          <c:showVal val="0"/>
          <c:showCatName val="0"/>
          <c:showSerName val="0"/>
          <c:showPercent val="0"/>
          <c:showBubbleSize val="0"/>
        </c:dLbls>
        <c:gapWidth val="100"/>
        <c:overlap val="100"/>
        <c:axId val="339694336"/>
        <c:axId val="339695872"/>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C6C1-4F66-906D-5B4E00504128}"/>
            </c:ext>
          </c:extLst>
        </c:ser>
        <c:dLbls>
          <c:showLegendKey val="0"/>
          <c:showVal val="0"/>
          <c:showCatName val="0"/>
          <c:showSerName val="0"/>
          <c:showPercent val="0"/>
          <c:showBubbleSize val="0"/>
        </c:dLbls>
        <c:marker val="1"/>
        <c:smooth val="0"/>
        <c:axId val="339694336"/>
        <c:axId val="339695872"/>
      </c:lineChart>
      <c:catAx>
        <c:axId val="339694336"/>
        <c:scaling>
          <c:orientation val="minMax"/>
        </c:scaling>
        <c:delete val="1"/>
        <c:axPos val="b"/>
        <c:numFmt formatCode="General" sourceLinked="1"/>
        <c:majorTickMark val="out"/>
        <c:minorTickMark val="none"/>
        <c:tickLblPos val="nextTo"/>
        <c:crossAx val="339695872"/>
        <c:crosses val="autoZero"/>
        <c:auto val="1"/>
        <c:lblAlgn val="ctr"/>
        <c:lblOffset val="100"/>
        <c:noMultiLvlLbl val="0"/>
      </c:catAx>
      <c:valAx>
        <c:axId val="339695872"/>
        <c:scaling>
          <c:orientation val="minMax"/>
        </c:scaling>
        <c:delete val="1"/>
        <c:axPos val="l"/>
        <c:numFmt formatCode="General" sourceLinked="1"/>
        <c:majorTickMark val="none"/>
        <c:minorTickMark val="none"/>
        <c:tickLblPos val="nextTo"/>
        <c:crossAx val="339694336"/>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33111477111205E-2"/>
          <c:y val="5.2009456264775412E-2"/>
          <c:w val="0.92015447209499956"/>
          <c:h val="0.54179743489510623"/>
        </c:manualLayout>
      </c:layout>
      <c:lineChart>
        <c:grouping val="standard"/>
        <c:varyColors val="0"/>
        <c:ser>
          <c:idx val="0"/>
          <c:order val="0"/>
          <c:tx>
            <c:strRef>
              <c:f>Sheet1!$B$1</c:f>
              <c:strCache>
                <c:ptCount val="1"/>
                <c:pt idx="0">
                  <c:v>ԿԲ ռեպո</c:v>
                </c:pt>
              </c:strCache>
            </c:strRef>
          </c:tx>
          <c:spPr>
            <a:ln w="31750" cap="rnd">
              <a:solidFill>
                <a:schemeClr val="tx1"/>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Sheet1!$B$2:$B$22</c:f>
              <c:numCache>
                <c:formatCode>0.00</c:formatCode>
                <c:ptCount val="21"/>
                <c:pt idx="0">
                  <c:v>5.25</c:v>
                </c:pt>
                <c:pt idx="1">
                  <c:v>5.5</c:v>
                </c:pt>
                <c:pt idx="2">
                  <c:v>5.5</c:v>
                </c:pt>
                <c:pt idx="3">
                  <c:v>5.5</c:v>
                </c:pt>
                <c:pt idx="4">
                  <c:v>6</c:v>
                </c:pt>
                <c:pt idx="5">
                  <c:v>6.5</c:v>
                </c:pt>
                <c:pt idx="6">
                  <c:v>6.5</c:v>
                </c:pt>
                <c:pt idx="7">
                  <c:v>7</c:v>
                </c:pt>
                <c:pt idx="8">
                  <c:v>7.25</c:v>
                </c:pt>
                <c:pt idx="9">
                  <c:v>7.25</c:v>
                </c:pt>
                <c:pt idx="10">
                  <c:v>7.25</c:v>
                </c:pt>
                <c:pt idx="11">
                  <c:v>7.75</c:v>
                </c:pt>
                <c:pt idx="12">
                  <c:v>7.75</c:v>
                </c:pt>
                <c:pt idx="13">
                  <c:v>8</c:v>
                </c:pt>
                <c:pt idx="14">
                  <c:v>9.25</c:v>
                </c:pt>
                <c:pt idx="15">
                  <c:v>9.25</c:v>
                </c:pt>
                <c:pt idx="16">
                  <c:v>9.25</c:v>
                </c:pt>
                <c:pt idx="17">
                  <c:v>9.25</c:v>
                </c:pt>
                <c:pt idx="18">
                  <c:v>9.25</c:v>
                </c:pt>
                <c:pt idx="19">
                  <c:v>9.5</c:v>
                </c:pt>
                <c:pt idx="20">
                  <c:v>10</c:v>
                </c:pt>
              </c:numCache>
            </c:numRef>
          </c:val>
          <c:smooth val="0"/>
          <c:extLst>
            <c:ext xmlns:c16="http://schemas.microsoft.com/office/drawing/2014/chart" uri="{C3380CC4-5D6E-409C-BE32-E72D297353CC}">
              <c16:uniqueId val="{00000000-7CE7-4F24-81AA-BD9CA8B7EFA9}"/>
            </c:ext>
          </c:extLst>
        </c:ser>
        <c:ser>
          <c:idx val="1"/>
          <c:order val="1"/>
          <c:tx>
            <c:strRef>
              <c:f>Sheet1!$C$1</c:f>
              <c:strCache>
                <c:ptCount val="1"/>
                <c:pt idx="0">
                  <c:v>Միջբանկային ռեպո</c:v>
                </c:pt>
              </c:strCache>
            </c:strRef>
          </c:tx>
          <c:spPr>
            <a:ln w="19050" cap="rnd">
              <a:solidFill>
                <a:schemeClr val="accent2"/>
              </a:solidFill>
              <a:prstDash val="solid"/>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Sheet1!$C$2:$C$22</c:f>
              <c:numCache>
                <c:formatCode>0.0</c:formatCode>
                <c:ptCount val="21"/>
                <c:pt idx="0">
                  <c:v>5.49</c:v>
                </c:pt>
                <c:pt idx="1">
                  <c:v>5.56</c:v>
                </c:pt>
                <c:pt idx="2">
                  <c:v>5.54</c:v>
                </c:pt>
                <c:pt idx="3">
                  <c:v>5.54</c:v>
                </c:pt>
                <c:pt idx="4">
                  <c:v>6.71</c:v>
                </c:pt>
                <c:pt idx="5">
                  <c:v>6.48</c:v>
                </c:pt>
                <c:pt idx="6">
                  <c:v>6.93</c:v>
                </c:pt>
                <c:pt idx="7">
                  <c:v>7.24</c:v>
                </c:pt>
                <c:pt idx="8">
                  <c:v>7.17</c:v>
                </c:pt>
                <c:pt idx="9">
                  <c:v>7.8</c:v>
                </c:pt>
                <c:pt idx="10">
                  <c:v>7</c:v>
                </c:pt>
                <c:pt idx="11">
                  <c:v>7.25</c:v>
                </c:pt>
                <c:pt idx="12">
                  <c:v>7.66</c:v>
                </c:pt>
                <c:pt idx="13">
                  <c:v>8.16</c:v>
                </c:pt>
                <c:pt idx="14">
                  <c:v>8.36</c:v>
                </c:pt>
                <c:pt idx="15">
                  <c:v>9.31</c:v>
                </c:pt>
                <c:pt idx="16">
                  <c:v>9.67</c:v>
                </c:pt>
                <c:pt idx="17">
                  <c:v>9.3699999999999992</c:v>
                </c:pt>
                <c:pt idx="18">
                  <c:v>9.42</c:v>
                </c:pt>
                <c:pt idx="19">
                  <c:v>9.73</c:v>
                </c:pt>
              </c:numCache>
            </c:numRef>
          </c:val>
          <c:smooth val="0"/>
          <c:extLst>
            <c:ext xmlns:c16="http://schemas.microsoft.com/office/drawing/2014/chart" uri="{C3380CC4-5D6E-409C-BE32-E72D297353CC}">
              <c16:uniqueId val="{00000001-7CE7-4F24-81AA-BD9CA8B7EFA9}"/>
            </c:ext>
          </c:extLst>
        </c:ser>
        <c:ser>
          <c:idx val="2"/>
          <c:order val="2"/>
          <c:tx>
            <c:strRef>
              <c:f>Sheet1!$D$1</c:f>
              <c:strCache>
                <c:ptCount val="1"/>
                <c:pt idx="0">
                  <c:v>Պետական պարտատոմսեր, 1տ․</c:v>
                </c:pt>
              </c:strCache>
            </c:strRef>
          </c:tx>
          <c:spPr>
            <a:ln w="19050" cap="rnd">
              <a:solidFill>
                <a:schemeClr val="accent3"/>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Sheet1!$D$2:$D$22</c:f>
              <c:numCache>
                <c:formatCode>0.0</c:formatCode>
                <c:ptCount val="21"/>
                <c:pt idx="0">
                  <c:v>6.6997</c:v>
                </c:pt>
                <c:pt idx="1">
                  <c:v>6.8146299999999993</c:v>
                </c:pt>
                <c:pt idx="2">
                  <c:v>6.8283590909090899</c:v>
                </c:pt>
                <c:pt idx="3">
                  <c:v>6.8019863636363631</c:v>
                </c:pt>
                <c:pt idx="4">
                  <c:v>7.0305900000000019</c:v>
                </c:pt>
                <c:pt idx="5">
                  <c:v>7.416977272727272</c:v>
                </c:pt>
                <c:pt idx="6">
                  <c:v>7.6177190476190484</c:v>
                </c:pt>
                <c:pt idx="7">
                  <c:v>8.0989772727272733</c:v>
                </c:pt>
                <c:pt idx="8">
                  <c:v>8.4046714285714277</c:v>
                </c:pt>
                <c:pt idx="9">
                  <c:v>8.607838095238094</c:v>
                </c:pt>
                <c:pt idx="10">
                  <c:v>8.8321954545454542</c:v>
                </c:pt>
                <c:pt idx="11">
                  <c:v>8.902281818181816</c:v>
                </c:pt>
                <c:pt idx="12">
                  <c:v>9.057884210526316</c:v>
                </c:pt>
                <c:pt idx="13">
                  <c:v>8.99939</c:v>
                </c:pt>
                <c:pt idx="14">
                  <c:v>9.6898681818181824</c:v>
                </c:pt>
                <c:pt idx="15">
                  <c:v>10.165071428571427</c:v>
                </c:pt>
                <c:pt idx="16">
                  <c:v>10.262547619047622</c:v>
                </c:pt>
                <c:pt idx="17">
                  <c:v>10.307509090909091</c:v>
                </c:pt>
                <c:pt idx="18" formatCode="0">
                  <c:v>10.428950000000002</c:v>
                </c:pt>
                <c:pt idx="19" formatCode="0">
                  <c:v>10.479456521739131</c:v>
                </c:pt>
                <c:pt idx="20" formatCode="0">
                  <c:v>10.583795238095238</c:v>
                </c:pt>
              </c:numCache>
            </c:numRef>
          </c:val>
          <c:smooth val="0"/>
          <c:extLst>
            <c:ext xmlns:c16="http://schemas.microsoft.com/office/drawing/2014/chart" uri="{C3380CC4-5D6E-409C-BE32-E72D297353CC}">
              <c16:uniqueId val="{00000002-7CE7-4F24-81AA-BD9CA8B7EFA9}"/>
            </c:ext>
          </c:extLst>
        </c:ser>
        <c:ser>
          <c:idx val="3"/>
          <c:order val="3"/>
          <c:tx>
            <c:strRef>
              <c:f>Sheet1!$E$1</c:f>
              <c:strCache>
                <c:ptCount val="1"/>
                <c:pt idx="0">
                  <c:v>Պետական պարտատոմսեր, 10տ․</c:v>
                </c:pt>
              </c:strCache>
            </c:strRef>
          </c:tx>
          <c:spPr>
            <a:ln w="19050" cap="rnd">
              <a:solidFill>
                <a:schemeClr val="accent4"/>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Sheet1!$E$2:$E$22</c:f>
              <c:numCache>
                <c:formatCode>0.0</c:formatCode>
                <c:ptCount val="21"/>
                <c:pt idx="0">
                  <c:v>9.1305357142857151</c:v>
                </c:pt>
                <c:pt idx="1">
                  <c:v>8.7364000000000015</c:v>
                </c:pt>
                <c:pt idx="2">
                  <c:v>8.8150272727272725</c:v>
                </c:pt>
                <c:pt idx="3">
                  <c:v>8.9161227272727253</c:v>
                </c:pt>
                <c:pt idx="4">
                  <c:v>9.0098500000000001</c:v>
                </c:pt>
                <c:pt idx="5">
                  <c:v>9.0018772727272722</c:v>
                </c:pt>
                <c:pt idx="6">
                  <c:v>9.2964285714285708</c:v>
                </c:pt>
                <c:pt idx="7">
                  <c:v>9.612345454545455</c:v>
                </c:pt>
                <c:pt idx="8">
                  <c:v>10.014661904761903</c:v>
                </c:pt>
                <c:pt idx="9">
                  <c:v>10.005904761904763</c:v>
                </c:pt>
                <c:pt idx="10">
                  <c:v>10.029559090909091</c:v>
                </c:pt>
                <c:pt idx="11">
                  <c:v>10.023227272727274</c:v>
                </c:pt>
                <c:pt idx="12">
                  <c:v>10.097063157894738</c:v>
                </c:pt>
                <c:pt idx="13">
                  <c:v>10.036735000000002</c:v>
                </c:pt>
                <c:pt idx="14">
                  <c:v>10.728454545454547</c:v>
                </c:pt>
                <c:pt idx="15">
                  <c:v>11.249590476190477</c:v>
                </c:pt>
                <c:pt idx="16">
                  <c:v>11.120128571428571</c:v>
                </c:pt>
                <c:pt idx="17">
                  <c:v>11.198654545454545</c:v>
                </c:pt>
                <c:pt idx="18" formatCode="0">
                  <c:v>11.361525</c:v>
                </c:pt>
                <c:pt idx="19" formatCode="0">
                  <c:v>11.365604347826087</c:v>
                </c:pt>
                <c:pt idx="20" formatCode="0">
                  <c:v>11.536523809523809</c:v>
                </c:pt>
              </c:numCache>
            </c:numRef>
          </c:val>
          <c:smooth val="0"/>
          <c:extLst>
            <c:ext xmlns:c16="http://schemas.microsoft.com/office/drawing/2014/chart" uri="{C3380CC4-5D6E-409C-BE32-E72D297353CC}">
              <c16:uniqueId val="{00000003-7CE7-4F24-81AA-BD9CA8B7EFA9}"/>
            </c:ext>
          </c:extLst>
        </c:ser>
        <c:ser>
          <c:idx val="4"/>
          <c:order val="4"/>
          <c:tx>
            <c:strRef>
              <c:f>Sheet1!$F$1</c:f>
              <c:strCache>
                <c:ptCount val="1"/>
                <c:pt idx="0">
                  <c:v>Վարկեր, մինչև 1 տ․</c:v>
                </c:pt>
              </c:strCache>
            </c:strRef>
          </c:tx>
          <c:spPr>
            <a:ln w="25400" cap="rnd">
              <a:solidFill>
                <a:schemeClr val="accent5"/>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Sheet1!$F$2:$F$22</c:f>
              <c:numCache>
                <c:formatCode>0.0</c:formatCode>
                <c:ptCount val="21"/>
                <c:pt idx="0">
                  <c:v>11.549209942466879</c:v>
                </c:pt>
                <c:pt idx="1">
                  <c:v>12.265284498474417</c:v>
                </c:pt>
                <c:pt idx="2">
                  <c:v>11.961990666081375</c:v>
                </c:pt>
                <c:pt idx="3">
                  <c:v>11.697603968729714</c:v>
                </c:pt>
                <c:pt idx="4">
                  <c:v>11.46349671816964</c:v>
                </c:pt>
                <c:pt idx="5">
                  <c:v>10.411636000567436</c:v>
                </c:pt>
                <c:pt idx="6">
                  <c:v>11.825994181857787</c:v>
                </c:pt>
                <c:pt idx="7">
                  <c:v>11.937044148439007</c:v>
                </c:pt>
                <c:pt idx="8">
                  <c:v>12.208102534160609</c:v>
                </c:pt>
                <c:pt idx="9">
                  <c:v>11.779293223642544</c:v>
                </c:pt>
                <c:pt idx="10">
                  <c:v>11.765812609481552</c:v>
                </c:pt>
                <c:pt idx="11">
                  <c:v>12.277436640171302</c:v>
                </c:pt>
                <c:pt idx="12">
                  <c:v>12.136173486114288</c:v>
                </c:pt>
                <c:pt idx="13">
                  <c:v>12.219833307639213</c:v>
                </c:pt>
                <c:pt idx="14">
                  <c:v>12.491087907189435</c:v>
                </c:pt>
                <c:pt idx="15">
                  <c:v>11.489323502789608</c:v>
                </c:pt>
                <c:pt idx="16">
                  <c:v>11.536903872779591</c:v>
                </c:pt>
                <c:pt idx="17">
                  <c:v>11.274733470496635</c:v>
                </c:pt>
                <c:pt idx="18" formatCode="#,##0.0">
                  <c:v>11.699386745104745</c:v>
                </c:pt>
                <c:pt idx="19" formatCode="#,##0.0">
                  <c:v>11.535369601703893</c:v>
                </c:pt>
                <c:pt idx="20" formatCode="#,##0.0">
                  <c:v>11.773619839763745</c:v>
                </c:pt>
              </c:numCache>
            </c:numRef>
          </c:val>
          <c:smooth val="0"/>
          <c:extLst>
            <c:ext xmlns:c16="http://schemas.microsoft.com/office/drawing/2014/chart" uri="{C3380CC4-5D6E-409C-BE32-E72D297353CC}">
              <c16:uniqueId val="{00000004-7CE7-4F24-81AA-BD9CA8B7EFA9}"/>
            </c:ext>
          </c:extLst>
        </c:ser>
        <c:ser>
          <c:idx val="5"/>
          <c:order val="5"/>
          <c:tx>
            <c:strRef>
              <c:f>Sheet1!$G$1</c:f>
              <c:strCache>
                <c:ptCount val="1"/>
                <c:pt idx="0">
                  <c:v>Ավանդներ, մինչև 1տ․</c:v>
                </c:pt>
              </c:strCache>
            </c:strRef>
          </c:tx>
          <c:spPr>
            <a:ln w="25400" cap="rnd">
              <a:solidFill>
                <a:schemeClr val="accent6"/>
              </a:solidFill>
              <a:prstDash val="solid"/>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Sheet1!$G$2:$G$22</c:f>
              <c:numCache>
                <c:formatCode>0.0</c:formatCode>
                <c:ptCount val="21"/>
                <c:pt idx="0">
                  <c:v>8.3431898134069336</c:v>
                </c:pt>
                <c:pt idx="1">
                  <c:v>8.1845675016329267</c:v>
                </c:pt>
                <c:pt idx="2">
                  <c:v>7.7422870380906073</c:v>
                </c:pt>
                <c:pt idx="3">
                  <c:v>8.258143495890641</c:v>
                </c:pt>
                <c:pt idx="4">
                  <c:v>8.336376778540556</c:v>
                </c:pt>
                <c:pt idx="5">
                  <c:v>8.0158616246163845</c:v>
                </c:pt>
                <c:pt idx="6">
                  <c:v>8.3801246219086263</c:v>
                </c:pt>
                <c:pt idx="7">
                  <c:v>8.4231469612643615</c:v>
                </c:pt>
                <c:pt idx="8">
                  <c:v>8.2773469777009598</c:v>
                </c:pt>
                <c:pt idx="9">
                  <c:v>8.4296232065051928</c:v>
                </c:pt>
                <c:pt idx="10">
                  <c:v>8.2398175292211864</c:v>
                </c:pt>
                <c:pt idx="11">
                  <c:v>8.2678332122473623</c:v>
                </c:pt>
                <c:pt idx="12">
                  <c:v>8.3938267500377108</c:v>
                </c:pt>
                <c:pt idx="13">
                  <c:v>8.5417269393471607</c:v>
                </c:pt>
                <c:pt idx="14">
                  <c:v>9.2964040296125265</c:v>
                </c:pt>
                <c:pt idx="15">
                  <c:v>9.210710627688707</c:v>
                </c:pt>
                <c:pt idx="16">
                  <c:v>8.4604892202941926</c:v>
                </c:pt>
                <c:pt idx="17">
                  <c:v>8.1287571727719037</c:v>
                </c:pt>
                <c:pt idx="18" formatCode="#,##0.0">
                  <c:v>8.0137945266574295</c:v>
                </c:pt>
                <c:pt idx="19" formatCode="#,##0.0">
                  <c:v>8.1901082208958194</c:v>
                </c:pt>
                <c:pt idx="20" formatCode="#,##0.0">
                  <c:v>7.6374793222786144</c:v>
                </c:pt>
              </c:numCache>
            </c:numRef>
          </c:val>
          <c:smooth val="0"/>
          <c:extLst>
            <c:ext xmlns:c16="http://schemas.microsoft.com/office/drawing/2014/chart" uri="{C3380CC4-5D6E-409C-BE32-E72D297353CC}">
              <c16:uniqueId val="{00000005-7CE7-4F24-81AA-BD9CA8B7EFA9}"/>
            </c:ext>
          </c:extLst>
        </c:ser>
        <c:dLbls>
          <c:showLegendKey val="0"/>
          <c:showVal val="0"/>
          <c:showCatName val="0"/>
          <c:showSerName val="0"/>
          <c:showPercent val="0"/>
          <c:showBubbleSize val="0"/>
        </c:dLbls>
        <c:smooth val="0"/>
        <c:axId val="340183680"/>
        <c:axId val="340275584"/>
      </c:lineChart>
      <c:catAx>
        <c:axId val="3401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75584"/>
        <c:crosses val="autoZero"/>
        <c:auto val="1"/>
        <c:lblAlgn val="ctr"/>
        <c:lblOffset val="100"/>
        <c:noMultiLvlLbl val="0"/>
      </c:catAx>
      <c:valAx>
        <c:axId val="34027558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83680"/>
        <c:crosses val="autoZero"/>
        <c:crossBetween val="between"/>
      </c:valAx>
      <c:spPr>
        <a:solidFill>
          <a:schemeClr val="bg1"/>
        </a:solidFill>
        <a:ln>
          <a:noFill/>
        </a:ln>
        <a:effectLst/>
      </c:spPr>
    </c:plotArea>
    <c:legend>
      <c:legendPos val="b"/>
      <c:layout>
        <c:manualLayout>
          <c:xMode val="edge"/>
          <c:yMode val="edge"/>
          <c:x val="2.3400191021967526E-2"/>
          <c:y val="0.78664135068222851"/>
          <c:w val="0.96657115568290353"/>
          <c:h val="0.18498985499153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Sheet1!$B$1:$G$1</c:f>
              <c:strCache>
                <c:ptCount val="5"/>
                <c:pt idx="0">
                  <c:v>2018</c:v>
                </c:pt>
                <c:pt idx="1">
                  <c:v>2019</c:v>
                </c:pt>
                <c:pt idx="2">
                  <c:v>2020</c:v>
                </c:pt>
                <c:pt idx="3">
                  <c:v>2021</c:v>
                </c:pt>
                <c:pt idx="4">
                  <c:v>2022</c:v>
                </c:pt>
              </c:strCache>
            </c:strRef>
          </c:cat>
          <c:val>
            <c:numRef>
              <c:f>Sheet1!$B$2:$G$2</c:f>
              <c:numCache>
                <c:formatCode>0</c:formatCode>
                <c:ptCount val="5"/>
                <c:pt idx="0">
                  <c:v>1770.3499696193003</c:v>
                </c:pt>
                <c:pt idx="1">
                  <c:v>1911.9582465456979</c:v>
                </c:pt>
                <c:pt idx="2">
                  <c:v>1828.3819298681985</c:v>
                </c:pt>
                <c:pt idx="3">
                  <c:v>2142.0225010860981</c:v>
                </c:pt>
                <c:pt idx="4">
                  <c:v>3509.4</c:v>
                </c:pt>
              </c:numCache>
            </c:numRef>
          </c:val>
          <c:extLst>
            <c:ext xmlns:c16="http://schemas.microsoft.com/office/drawing/2014/chart" uri="{C3380CC4-5D6E-409C-BE32-E72D297353CC}">
              <c16:uniqueId val="{00000000-80B1-4351-9A8F-F87393C3BA3F}"/>
            </c:ext>
          </c:extLst>
        </c:ser>
        <c:ser>
          <c:idx val="1"/>
          <c:order val="1"/>
          <c:tx>
            <c:strRef>
              <c:f>Sheet1!$A$3</c:f>
              <c:strCache>
                <c:ptCount val="1"/>
                <c:pt idx="0">
                  <c:v>Ներմուծում (CIF)</c:v>
                </c:pt>
              </c:strCache>
            </c:strRef>
          </c:tx>
          <c:invertIfNegative val="0"/>
          <c:cat>
            <c:strRef>
              <c:f>Sheet1!$B$1:$G$1</c:f>
              <c:strCache>
                <c:ptCount val="5"/>
                <c:pt idx="0">
                  <c:v>2018</c:v>
                </c:pt>
                <c:pt idx="1">
                  <c:v>2019</c:v>
                </c:pt>
                <c:pt idx="2">
                  <c:v>2020</c:v>
                </c:pt>
                <c:pt idx="3">
                  <c:v>2021</c:v>
                </c:pt>
                <c:pt idx="4">
                  <c:v>2022</c:v>
                </c:pt>
              </c:strCache>
            </c:strRef>
          </c:cat>
          <c:val>
            <c:numRef>
              <c:f>Sheet1!$B$3:$G$3</c:f>
              <c:numCache>
                <c:formatCode>0</c:formatCode>
                <c:ptCount val="5"/>
                <c:pt idx="0">
                  <c:v>3562.1605539000002</c:v>
                </c:pt>
                <c:pt idx="1">
                  <c:v>3729.9891670400034</c:v>
                </c:pt>
                <c:pt idx="2">
                  <c:v>3257.4365265899996</c:v>
                </c:pt>
                <c:pt idx="3">
                  <c:v>3586.5913802199975</c:v>
                </c:pt>
                <c:pt idx="4">
                  <c:v>5797.2</c:v>
                </c:pt>
              </c:numCache>
            </c:numRef>
          </c:val>
          <c:extLst>
            <c:ext xmlns:c16="http://schemas.microsoft.com/office/drawing/2014/chart" uri="{C3380CC4-5D6E-409C-BE32-E72D297353CC}">
              <c16:uniqueId val="{00000001-80B1-4351-9A8F-F87393C3BA3F}"/>
            </c:ext>
          </c:extLst>
        </c:ser>
        <c:ser>
          <c:idx val="2"/>
          <c:order val="2"/>
          <c:tx>
            <c:strRef>
              <c:f>Sheet1!$A$4</c:f>
              <c:strCache>
                <c:ptCount val="1"/>
                <c:pt idx="0">
                  <c:v>Առևտրային հաշվեկշիռ</c:v>
                </c:pt>
              </c:strCache>
            </c:strRef>
          </c:tx>
          <c:invertIfNegative val="0"/>
          <c:cat>
            <c:strRef>
              <c:f>Sheet1!$B$1:$G$1</c:f>
              <c:strCache>
                <c:ptCount val="5"/>
                <c:pt idx="0">
                  <c:v>2018</c:v>
                </c:pt>
                <c:pt idx="1">
                  <c:v>2019</c:v>
                </c:pt>
                <c:pt idx="2">
                  <c:v>2020</c:v>
                </c:pt>
                <c:pt idx="3">
                  <c:v>2021</c:v>
                </c:pt>
                <c:pt idx="4">
                  <c:v>2022</c:v>
                </c:pt>
              </c:strCache>
            </c:strRef>
          </c:cat>
          <c:val>
            <c:numRef>
              <c:f>Sheet1!$B$4:$G$4</c:f>
              <c:numCache>
                <c:formatCode>0</c:formatCode>
                <c:ptCount val="5"/>
                <c:pt idx="0">
                  <c:v>-1791.8105842806999</c:v>
                </c:pt>
                <c:pt idx="1">
                  <c:v>-1818.0309204943055</c:v>
                </c:pt>
                <c:pt idx="2">
                  <c:v>-1429.0545967218011</c:v>
                </c:pt>
                <c:pt idx="3">
                  <c:v>-1444.5688791338994</c:v>
                </c:pt>
                <c:pt idx="4">
                  <c:v>-2287.7999999999997</c:v>
                </c:pt>
              </c:numCache>
            </c:numRef>
          </c:val>
          <c:extLst>
            <c:ext xmlns:c16="http://schemas.microsoft.com/office/drawing/2014/chart" uri="{C3380CC4-5D6E-409C-BE32-E72D297353CC}">
              <c16:uniqueId val="{00000002-80B1-4351-9A8F-F87393C3BA3F}"/>
            </c:ext>
          </c:extLst>
        </c:ser>
        <c:dLbls>
          <c:showLegendKey val="0"/>
          <c:showVal val="0"/>
          <c:showCatName val="0"/>
          <c:showSerName val="0"/>
          <c:showPercent val="0"/>
          <c:showBubbleSize val="0"/>
        </c:dLbls>
        <c:gapWidth val="150"/>
        <c:axId val="339788160"/>
        <c:axId val="339789696"/>
      </c:barChart>
      <c:catAx>
        <c:axId val="339788160"/>
        <c:scaling>
          <c:orientation val="minMax"/>
        </c:scaling>
        <c:delete val="0"/>
        <c:axPos val="b"/>
        <c:numFmt formatCode="General" sourceLinked="1"/>
        <c:majorTickMark val="out"/>
        <c:minorTickMark val="none"/>
        <c:tickLblPos val="nextTo"/>
        <c:txPr>
          <a:bodyPr/>
          <a:lstStyle/>
          <a:p>
            <a:pPr>
              <a:defRPr>
                <a:latin typeface="GHEA Grapalat" pitchFamily="50" charset="0"/>
              </a:defRPr>
            </a:pPr>
            <a:endParaRPr lang="en-US"/>
          </a:p>
        </c:txPr>
        <c:crossAx val="339789696"/>
        <c:crosses val="autoZero"/>
        <c:auto val="1"/>
        <c:lblAlgn val="ctr"/>
        <c:lblOffset val="100"/>
        <c:noMultiLvlLbl val="0"/>
      </c:catAx>
      <c:valAx>
        <c:axId val="339789696"/>
        <c:scaling>
          <c:orientation val="minMax"/>
        </c:scaling>
        <c:delete val="0"/>
        <c:axPos val="l"/>
        <c:majorGridlines/>
        <c:numFmt formatCode="0" sourceLinked="1"/>
        <c:majorTickMark val="out"/>
        <c:minorTickMark val="none"/>
        <c:tickLblPos val="nextTo"/>
        <c:txPr>
          <a:bodyPr/>
          <a:lstStyle/>
          <a:p>
            <a:pPr>
              <a:defRPr>
                <a:latin typeface="GHEA Grapalat" pitchFamily="50" charset="0"/>
              </a:defRPr>
            </a:pPr>
            <a:endParaRPr lang="en-US"/>
          </a:p>
        </c:txPr>
        <c:crossAx val="339788160"/>
        <c:crosses val="autoZero"/>
        <c:crossBetween val="between"/>
      </c:valAx>
    </c:plotArea>
    <c:legend>
      <c:legendPos val="r"/>
      <c:layout>
        <c:manualLayout>
          <c:xMode val="edge"/>
          <c:yMode val="edge"/>
          <c:x val="0.10071942446043168"/>
          <c:y val="0.907258064516129"/>
          <c:w val="0.85676304765582389"/>
          <c:h val="9.6774039608685275E-2"/>
        </c:manualLayout>
      </c:layout>
      <c:overlay val="0"/>
      <c:txPr>
        <a:bodyPr/>
        <a:lstStyle/>
        <a:p>
          <a:pPr>
            <a:defRPr>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6875F-4D47-4F21-A5F0-9F47CC99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6471</Words>
  <Characters>47037</Characters>
  <Application>Microsoft Office Word</Application>
  <DocSecurity>0</DocSecurity>
  <Lines>391</Lines>
  <Paragraphs>106</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53402</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Greta Adamyan</cp:lastModifiedBy>
  <cp:revision>5</cp:revision>
  <cp:lastPrinted>2022-11-09T05:38:00Z</cp:lastPrinted>
  <dcterms:created xsi:type="dcterms:W3CDTF">2024-04-29T08:54:00Z</dcterms:created>
  <dcterms:modified xsi:type="dcterms:W3CDTF">2024-04-29T10:03:00Z</dcterms:modified>
</cp:coreProperties>
</file>